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50"/>
        <w:gridCol w:w="151"/>
        <w:gridCol w:w="2332"/>
        <w:gridCol w:w="6283"/>
      </w:tblGrid>
      <w:tr w:rsidR="00AC2ACA" w:rsidRPr="00460CB9" w14:paraId="55FABCAC" w14:textId="77777777" w:rsidTr="001535B4">
        <w:trPr>
          <w:trHeight w:val="557"/>
        </w:trPr>
        <w:tc>
          <w:tcPr>
            <w:tcW w:w="9242" w:type="dxa"/>
            <w:gridSpan w:val="4"/>
            <w:shd w:val="clear" w:color="auto" w:fill="auto"/>
            <w:vAlign w:val="center"/>
          </w:tcPr>
          <w:p w14:paraId="5307314A" w14:textId="77777777" w:rsidR="00AC2ACA" w:rsidRPr="0053198F" w:rsidRDefault="00AC2ACA" w:rsidP="001535B4">
            <w:pPr>
              <w:jc w:val="center"/>
              <w:rPr>
                <w:sz w:val="28"/>
                <w:szCs w:val="28"/>
              </w:rPr>
            </w:pPr>
            <w:r>
              <w:rPr>
                <w:b/>
                <w:sz w:val="28"/>
                <w:szCs w:val="28"/>
              </w:rPr>
              <w:t>Rationale of Checklist</w:t>
            </w:r>
          </w:p>
        </w:tc>
      </w:tr>
      <w:tr w:rsidR="00AC2ACA" w:rsidRPr="00460CB9" w14:paraId="17F24DA9" w14:textId="77777777" w:rsidTr="00E46D93">
        <w:trPr>
          <w:trHeight w:val="3050"/>
        </w:trPr>
        <w:tc>
          <w:tcPr>
            <w:tcW w:w="9242" w:type="dxa"/>
            <w:gridSpan w:val="4"/>
            <w:shd w:val="clear" w:color="auto" w:fill="auto"/>
            <w:vAlign w:val="center"/>
          </w:tcPr>
          <w:p w14:paraId="5906461D" w14:textId="1A37EE5F" w:rsidR="00AC2ACA" w:rsidRDefault="00D01E8F" w:rsidP="00B3219E">
            <w:pPr>
              <w:rPr>
                <w:szCs w:val="28"/>
              </w:rPr>
            </w:pPr>
            <w:r>
              <w:rPr>
                <w:szCs w:val="28"/>
              </w:rPr>
              <w:t>This checklist will be completed by the LPC sub-committee for e</w:t>
            </w:r>
            <w:r w:rsidR="001535B4">
              <w:rPr>
                <w:szCs w:val="28"/>
              </w:rPr>
              <w:t>very</w:t>
            </w:r>
            <w:r w:rsidR="00CF09FC">
              <w:rPr>
                <w:szCs w:val="28"/>
              </w:rPr>
              <w:t xml:space="preserve"> </w:t>
            </w:r>
            <w:r>
              <w:rPr>
                <w:szCs w:val="28"/>
              </w:rPr>
              <w:t xml:space="preserve">new or recommissioned </w:t>
            </w:r>
            <w:r w:rsidR="00CF09FC">
              <w:rPr>
                <w:szCs w:val="28"/>
              </w:rPr>
              <w:t xml:space="preserve">service specification </w:t>
            </w:r>
            <w:r w:rsidR="001535B4">
              <w:rPr>
                <w:szCs w:val="28"/>
              </w:rPr>
              <w:t>sent to t</w:t>
            </w:r>
            <w:r>
              <w:rPr>
                <w:szCs w:val="28"/>
              </w:rPr>
              <w:t>he LPC for comment/consultation</w:t>
            </w:r>
            <w:r w:rsidR="001535B4">
              <w:rPr>
                <w:szCs w:val="28"/>
              </w:rPr>
              <w:t xml:space="preserve">. </w:t>
            </w:r>
            <w:r w:rsidR="00CF09FC">
              <w:rPr>
                <w:szCs w:val="28"/>
              </w:rPr>
              <w:t xml:space="preserve"> </w:t>
            </w:r>
            <w:r>
              <w:rPr>
                <w:szCs w:val="28"/>
              </w:rPr>
              <w:t>The response summary is completed after consultation and agreement by the sub-committee.</w:t>
            </w:r>
          </w:p>
          <w:p w14:paraId="7FD881D0" w14:textId="77777777" w:rsidR="001535B4" w:rsidRPr="001535B4" w:rsidRDefault="001535B4" w:rsidP="00B3219E">
            <w:pPr>
              <w:rPr>
                <w:sz w:val="10"/>
                <w:szCs w:val="28"/>
              </w:rPr>
            </w:pPr>
          </w:p>
          <w:p w14:paraId="0A6D498E" w14:textId="74F063CA" w:rsidR="00CF09FC" w:rsidRDefault="00CF09FC" w:rsidP="00B3219E">
            <w:pPr>
              <w:rPr>
                <w:szCs w:val="28"/>
              </w:rPr>
            </w:pPr>
            <w:r>
              <w:rPr>
                <w:szCs w:val="28"/>
              </w:rPr>
              <w:t xml:space="preserve">The Checklist contains </w:t>
            </w:r>
            <w:r w:rsidR="00D01E8F">
              <w:rPr>
                <w:szCs w:val="28"/>
              </w:rPr>
              <w:t xml:space="preserve">the LPC sub-committee’s </w:t>
            </w:r>
            <w:r>
              <w:rPr>
                <w:szCs w:val="28"/>
              </w:rPr>
              <w:t xml:space="preserve">comments/recommendations for </w:t>
            </w:r>
            <w:r w:rsidR="00D01E8F">
              <w:rPr>
                <w:szCs w:val="28"/>
              </w:rPr>
              <w:t xml:space="preserve">any requested </w:t>
            </w:r>
            <w:r>
              <w:rPr>
                <w:szCs w:val="28"/>
              </w:rPr>
              <w:t>changes to the proposed/draft service specification</w:t>
            </w:r>
            <w:r w:rsidR="001535B4">
              <w:rPr>
                <w:szCs w:val="28"/>
              </w:rPr>
              <w:t xml:space="preserve"> in order to achieve</w:t>
            </w:r>
            <w:r w:rsidR="00D01E8F">
              <w:rPr>
                <w:szCs w:val="28"/>
              </w:rPr>
              <w:t xml:space="preserve"> / improve further the</w:t>
            </w:r>
            <w:r w:rsidR="001535B4">
              <w:rPr>
                <w:szCs w:val="28"/>
              </w:rPr>
              <w:t xml:space="preserve"> green rating. </w:t>
            </w:r>
            <w:r>
              <w:rPr>
                <w:szCs w:val="28"/>
              </w:rPr>
              <w:t xml:space="preserve"> </w:t>
            </w:r>
            <w:r w:rsidR="001535B4">
              <w:rPr>
                <w:szCs w:val="28"/>
              </w:rPr>
              <w:t>It</w:t>
            </w:r>
            <w:r>
              <w:rPr>
                <w:szCs w:val="28"/>
              </w:rPr>
              <w:t xml:space="preserve"> will be </w:t>
            </w:r>
            <w:r w:rsidR="001535B4">
              <w:rPr>
                <w:szCs w:val="28"/>
              </w:rPr>
              <w:t>sent</w:t>
            </w:r>
            <w:r>
              <w:rPr>
                <w:szCs w:val="28"/>
              </w:rPr>
              <w:t xml:space="preserve"> to the </w:t>
            </w:r>
            <w:r w:rsidR="001535B4">
              <w:rPr>
                <w:szCs w:val="28"/>
              </w:rPr>
              <w:t>service c</w:t>
            </w:r>
            <w:r>
              <w:rPr>
                <w:szCs w:val="28"/>
              </w:rPr>
              <w:t xml:space="preserve">ommissioner for consideration of amendments </w:t>
            </w:r>
            <w:r w:rsidR="001535B4">
              <w:rPr>
                <w:szCs w:val="28"/>
              </w:rPr>
              <w:t xml:space="preserve">ideally </w:t>
            </w:r>
            <w:r>
              <w:rPr>
                <w:szCs w:val="28"/>
              </w:rPr>
              <w:t>prior</w:t>
            </w:r>
            <w:r w:rsidR="001535B4">
              <w:rPr>
                <w:szCs w:val="28"/>
              </w:rPr>
              <w:t xml:space="preserve"> to go-live of the service.</w:t>
            </w:r>
          </w:p>
          <w:p w14:paraId="2FF905B2" w14:textId="77777777" w:rsidR="001535B4" w:rsidRPr="001535B4" w:rsidRDefault="001535B4" w:rsidP="00B3219E">
            <w:pPr>
              <w:rPr>
                <w:sz w:val="10"/>
                <w:szCs w:val="10"/>
              </w:rPr>
            </w:pPr>
          </w:p>
          <w:p w14:paraId="0F24F5B1" w14:textId="4531220F" w:rsidR="001535B4" w:rsidRPr="00CF09FC" w:rsidRDefault="001535B4" w:rsidP="00B3219E">
            <w:pPr>
              <w:rPr>
                <w:szCs w:val="28"/>
              </w:rPr>
            </w:pPr>
            <w:r>
              <w:rPr>
                <w:szCs w:val="28"/>
              </w:rPr>
              <w:t>The LPC’s purpose is to work positively with commissioners to ensure high quality outcomes from the service</w:t>
            </w:r>
            <w:r w:rsidR="00D01E8F">
              <w:rPr>
                <w:szCs w:val="28"/>
              </w:rPr>
              <w:t>,</w:t>
            </w:r>
            <w:r>
              <w:rPr>
                <w:szCs w:val="28"/>
              </w:rPr>
              <w:t xml:space="preserve"> which are both professionally and commercially viable for contractor participation.</w:t>
            </w:r>
          </w:p>
        </w:tc>
      </w:tr>
      <w:tr w:rsidR="00E12F94" w:rsidRPr="00460CB9" w14:paraId="4332DA91" w14:textId="77777777" w:rsidTr="00807DFF">
        <w:trPr>
          <w:trHeight w:val="575"/>
        </w:trPr>
        <w:tc>
          <w:tcPr>
            <w:tcW w:w="9242" w:type="dxa"/>
            <w:gridSpan w:val="4"/>
            <w:tcBorders>
              <w:bottom w:val="single" w:sz="4" w:space="0" w:color="auto"/>
            </w:tcBorders>
            <w:shd w:val="clear" w:color="auto" w:fill="auto"/>
            <w:vAlign w:val="center"/>
          </w:tcPr>
          <w:p w14:paraId="459A1560" w14:textId="16AD6269" w:rsidR="00E12F94" w:rsidRDefault="00E12F94" w:rsidP="001535B4">
            <w:pPr>
              <w:jc w:val="center"/>
              <w:rPr>
                <w:b/>
                <w:sz w:val="28"/>
                <w:szCs w:val="28"/>
              </w:rPr>
            </w:pPr>
            <w:r>
              <w:rPr>
                <w:b/>
                <w:sz w:val="28"/>
                <w:szCs w:val="28"/>
              </w:rPr>
              <w:t>Response summary feedback from the LPC</w:t>
            </w:r>
          </w:p>
        </w:tc>
      </w:tr>
      <w:tr w:rsidR="00E8310F" w:rsidRPr="00460CB9" w14:paraId="2F71DB59" w14:textId="77777777" w:rsidTr="00807DFF">
        <w:trPr>
          <w:trHeight w:val="575"/>
        </w:trPr>
        <w:tc>
          <w:tcPr>
            <w:tcW w:w="9242" w:type="dxa"/>
            <w:gridSpan w:val="4"/>
            <w:shd w:val="clear" w:color="auto" w:fill="FFC000"/>
            <w:vAlign w:val="center"/>
          </w:tcPr>
          <w:p w14:paraId="5A70AB8B" w14:textId="06180876" w:rsidR="00E8310F" w:rsidRDefault="00912FF1" w:rsidP="00912FF1">
            <w:pPr>
              <w:jc w:val="center"/>
              <w:rPr>
                <w:b/>
                <w:sz w:val="28"/>
                <w:szCs w:val="28"/>
              </w:rPr>
            </w:pPr>
            <w:r>
              <w:rPr>
                <w:b/>
                <w:sz w:val="28"/>
                <w:szCs w:val="28"/>
              </w:rPr>
              <w:t>NUMSAS (Advanced Service)</w:t>
            </w:r>
            <w:r w:rsidR="00697410">
              <w:rPr>
                <w:b/>
                <w:sz w:val="28"/>
                <w:szCs w:val="28"/>
              </w:rPr>
              <w:t>,</w:t>
            </w:r>
            <w:r w:rsidR="009A4336">
              <w:rPr>
                <w:b/>
                <w:sz w:val="28"/>
                <w:szCs w:val="28"/>
              </w:rPr>
              <w:t xml:space="preserve"> NHS England</w:t>
            </w:r>
          </w:p>
        </w:tc>
      </w:tr>
      <w:tr w:rsidR="00E12F94" w:rsidRPr="00460CB9" w14:paraId="0D705D27" w14:textId="77777777" w:rsidTr="00E8310F">
        <w:trPr>
          <w:trHeight w:val="1979"/>
        </w:trPr>
        <w:tc>
          <w:tcPr>
            <w:tcW w:w="9242" w:type="dxa"/>
            <w:gridSpan w:val="4"/>
            <w:shd w:val="clear" w:color="auto" w:fill="auto"/>
            <w:vAlign w:val="center"/>
          </w:tcPr>
          <w:p w14:paraId="258B6E94" w14:textId="5C71CE3D" w:rsidR="00FE6523" w:rsidRDefault="00FE6523" w:rsidP="00B3219E">
            <w:pPr>
              <w:rPr>
                <w:szCs w:val="28"/>
              </w:rPr>
            </w:pPr>
            <w:r>
              <w:rPr>
                <w:szCs w:val="28"/>
              </w:rPr>
              <w:t>The LPC has rated this service sp</w:t>
            </w:r>
            <w:r w:rsidR="00B1308C">
              <w:rPr>
                <w:szCs w:val="28"/>
              </w:rPr>
              <w:t xml:space="preserve">ecification as </w:t>
            </w:r>
            <w:r w:rsidR="002559E9">
              <w:rPr>
                <w:szCs w:val="28"/>
              </w:rPr>
              <w:t>Amber</w:t>
            </w:r>
            <w:r w:rsidR="00EA42B3">
              <w:rPr>
                <w:szCs w:val="28"/>
              </w:rPr>
              <w:t xml:space="preserve"> based on the </w:t>
            </w:r>
            <w:r w:rsidR="008F437A">
              <w:rPr>
                <w:szCs w:val="28"/>
              </w:rPr>
              <w:t>comments made below. Our recommended actions to further improve the service are:</w:t>
            </w:r>
          </w:p>
          <w:p w14:paraId="71C71EEB" w14:textId="19ABFB39" w:rsidR="00EA42B3" w:rsidRDefault="00E46D93" w:rsidP="00EA42B3">
            <w:pPr>
              <w:pStyle w:val="ListParagraph"/>
              <w:numPr>
                <w:ilvl w:val="0"/>
                <w:numId w:val="2"/>
              </w:numPr>
              <w:rPr>
                <w:szCs w:val="28"/>
              </w:rPr>
            </w:pPr>
            <w:r>
              <w:rPr>
                <w:szCs w:val="28"/>
              </w:rPr>
              <w:t xml:space="preserve"> </w:t>
            </w:r>
            <w:r w:rsidR="009A4336">
              <w:rPr>
                <w:szCs w:val="28"/>
              </w:rPr>
              <w:t>None</w:t>
            </w:r>
            <w:r w:rsidR="00935A10">
              <w:rPr>
                <w:szCs w:val="28"/>
              </w:rPr>
              <w:t xml:space="preserve">, no response </w:t>
            </w:r>
            <w:r w:rsidR="00912FF1">
              <w:rPr>
                <w:szCs w:val="28"/>
              </w:rPr>
              <w:t>possible</w:t>
            </w:r>
            <w:r w:rsidR="00935A10">
              <w:rPr>
                <w:szCs w:val="28"/>
              </w:rPr>
              <w:t xml:space="preserve"> from </w:t>
            </w:r>
            <w:r w:rsidR="00912FF1">
              <w:rPr>
                <w:szCs w:val="28"/>
              </w:rPr>
              <w:t xml:space="preserve">national </w:t>
            </w:r>
            <w:r w:rsidR="00935A10">
              <w:rPr>
                <w:szCs w:val="28"/>
              </w:rPr>
              <w:t>commissioners.</w:t>
            </w:r>
          </w:p>
          <w:p w14:paraId="6AA3A491" w14:textId="0DF75545" w:rsidR="00E46D93" w:rsidRDefault="00E46D93" w:rsidP="00D30E30">
            <w:pPr>
              <w:pStyle w:val="ListParagraph"/>
              <w:rPr>
                <w:szCs w:val="28"/>
              </w:rPr>
            </w:pPr>
          </w:p>
          <w:p w14:paraId="33883583" w14:textId="51EDF928" w:rsidR="00E46D93" w:rsidRDefault="00D30E30" w:rsidP="00D30E30">
            <w:pPr>
              <w:rPr>
                <w:szCs w:val="28"/>
              </w:rPr>
            </w:pPr>
            <w:r>
              <w:rPr>
                <w:szCs w:val="28"/>
              </w:rPr>
              <w:t>Issues with the service that do not satisfy the sub-committee and hence why they do not recommend participation:</w:t>
            </w:r>
          </w:p>
          <w:p w14:paraId="483E676C" w14:textId="246ADC97" w:rsidR="00D30E30" w:rsidRPr="006846FA" w:rsidRDefault="00D30E30" w:rsidP="006846FA">
            <w:pPr>
              <w:pStyle w:val="ListParagraph"/>
              <w:numPr>
                <w:ilvl w:val="0"/>
                <w:numId w:val="5"/>
              </w:numPr>
              <w:rPr>
                <w:szCs w:val="28"/>
              </w:rPr>
            </w:pPr>
            <w:r>
              <w:rPr>
                <w:szCs w:val="28"/>
              </w:rPr>
              <w:t>Fees too low</w:t>
            </w:r>
            <w:r w:rsidR="006846FA">
              <w:rPr>
                <w:szCs w:val="28"/>
              </w:rPr>
              <w:t xml:space="preserve"> as workload is not adequately reflected</w:t>
            </w:r>
            <w:r w:rsidR="00F36554">
              <w:rPr>
                <w:szCs w:val="28"/>
              </w:rPr>
              <w:t>.</w:t>
            </w:r>
          </w:p>
          <w:p w14:paraId="67499697" w14:textId="329D43A1" w:rsidR="00D30E30" w:rsidRDefault="00D30E30" w:rsidP="00D30E30">
            <w:pPr>
              <w:pStyle w:val="ListParagraph"/>
              <w:numPr>
                <w:ilvl w:val="0"/>
                <w:numId w:val="5"/>
              </w:numPr>
              <w:rPr>
                <w:szCs w:val="28"/>
              </w:rPr>
            </w:pPr>
            <w:r>
              <w:rPr>
                <w:szCs w:val="28"/>
              </w:rPr>
              <w:t>No IT platform</w:t>
            </w:r>
            <w:r w:rsidR="002559E9">
              <w:rPr>
                <w:szCs w:val="28"/>
              </w:rPr>
              <w:t xml:space="preserve"> (IT possible solution TBC)</w:t>
            </w:r>
            <w:r w:rsidR="00F36554">
              <w:rPr>
                <w:szCs w:val="28"/>
              </w:rPr>
              <w:t>.</w:t>
            </w:r>
          </w:p>
          <w:p w14:paraId="7C6366D1" w14:textId="7A47829E" w:rsidR="00D30E30" w:rsidRPr="002559E9" w:rsidRDefault="00D30E30" w:rsidP="002559E9">
            <w:pPr>
              <w:pStyle w:val="ListParagraph"/>
              <w:numPr>
                <w:ilvl w:val="0"/>
                <w:numId w:val="5"/>
              </w:numPr>
              <w:rPr>
                <w:szCs w:val="28"/>
              </w:rPr>
            </w:pPr>
            <w:r>
              <w:rPr>
                <w:szCs w:val="28"/>
              </w:rPr>
              <w:t>Only referral from NHS111</w:t>
            </w:r>
            <w:r w:rsidR="006846FA">
              <w:rPr>
                <w:szCs w:val="28"/>
              </w:rPr>
              <w:t xml:space="preserve"> is allowed</w:t>
            </w:r>
            <w:r w:rsidR="002559E9">
              <w:rPr>
                <w:szCs w:val="28"/>
              </w:rPr>
              <w:t xml:space="preserve">, however existing </w:t>
            </w:r>
            <w:r w:rsidR="00F36554">
              <w:rPr>
                <w:szCs w:val="28"/>
              </w:rPr>
              <w:t xml:space="preserve">two </w:t>
            </w:r>
            <w:r w:rsidR="002559E9">
              <w:rPr>
                <w:szCs w:val="28"/>
              </w:rPr>
              <w:t>local</w:t>
            </w:r>
            <w:r w:rsidR="00F36554">
              <w:rPr>
                <w:szCs w:val="28"/>
              </w:rPr>
              <w:t>ly commissioned services in</w:t>
            </w:r>
            <w:r w:rsidR="002559E9">
              <w:rPr>
                <w:szCs w:val="28"/>
              </w:rPr>
              <w:t xml:space="preserve"> Wessex</w:t>
            </w:r>
            <w:r w:rsidR="00F36554">
              <w:rPr>
                <w:szCs w:val="28"/>
              </w:rPr>
              <w:t xml:space="preserve"> (except IOW)</w:t>
            </w:r>
            <w:r w:rsidR="002559E9">
              <w:rPr>
                <w:szCs w:val="28"/>
              </w:rPr>
              <w:t xml:space="preserve"> &amp; IOW have been agreed to continue for patients telephoning or presenting directly to pharmacy.</w:t>
            </w:r>
          </w:p>
          <w:p w14:paraId="10F7CC96" w14:textId="563848DC" w:rsidR="00D30E30" w:rsidRPr="00D30E30" w:rsidRDefault="00D30E30" w:rsidP="00D30E30">
            <w:pPr>
              <w:pStyle w:val="ListParagraph"/>
              <w:numPr>
                <w:ilvl w:val="0"/>
                <w:numId w:val="5"/>
              </w:numPr>
              <w:rPr>
                <w:szCs w:val="28"/>
              </w:rPr>
            </w:pPr>
            <w:r>
              <w:rPr>
                <w:szCs w:val="28"/>
              </w:rPr>
              <w:t>Pilot service only</w:t>
            </w:r>
            <w:r w:rsidR="006846FA">
              <w:rPr>
                <w:szCs w:val="28"/>
              </w:rPr>
              <w:t xml:space="preserve"> (Dec 2016 – Mar 2018)</w:t>
            </w:r>
            <w:r w:rsidR="00F36554">
              <w:rPr>
                <w:szCs w:val="28"/>
              </w:rPr>
              <w:t>.</w:t>
            </w:r>
          </w:p>
        </w:tc>
      </w:tr>
      <w:tr w:rsidR="00AC2ACA" w:rsidRPr="00460CB9" w14:paraId="180C9C9B" w14:textId="77777777" w:rsidTr="001535B4">
        <w:trPr>
          <w:trHeight w:val="548"/>
        </w:trPr>
        <w:tc>
          <w:tcPr>
            <w:tcW w:w="9242" w:type="dxa"/>
            <w:gridSpan w:val="4"/>
            <w:shd w:val="clear" w:color="auto" w:fill="auto"/>
            <w:vAlign w:val="center"/>
          </w:tcPr>
          <w:p w14:paraId="2AB25FA9" w14:textId="77777777" w:rsidR="00AC2ACA" w:rsidRDefault="00AC2ACA" w:rsidP="001535B4">
            <w:pPr>
              <w:jc w:val="center"/>
              <w:rPr>
                <w:b/>
                <w:sz w:val="28"/>
                <w:szCs w:val="28"/>
              </w:rPr>
            </w:pPr>
            <w:r>
              <w:rPr>
                <w:b/>
                <w:sz w:val="28"/>
                <w:szCs w:val="28"/>
              </w:rPr>
              <w:t>Time-line &amp; Next Steps for the LPC</w:t>
            </w:r>
          </w:p>
        </w:tc>
      </w:tr>
      <w:tr w:rsidR="00E12F94" w:rsidRPr="00460CB9" w14:paraId="697577A5" w14:textId="77777777" w:rsidTr="00E46D93">
        <w:trPr>
          <w:trHeight w:val="1412"/>
        </w:trPr>
        <w:tc>
          <w:tcPr>
            <w:tcW w:w="9242" w:type="dxa"/>
            <w:gridSpan w:val="4"/>
            <w:shd w:val="clear" w:color="auto" w:fill="auto"/>
            <w:vAlign w:val="center"/>
          </w:tcPr>
          <w:p w14:paraId="2F9356F0" w14:textId="1DA32767" w:rsidR="00CF09FC" w:rsidRDefault="00CF09FC" w:rsidP="00B3219E">
            <w:r>
              <w:t>The LPC will publish this</w:t>
            </w:r>
            <w:r w:rsidR="00E12F94">
              <w:t xml:space="preserve"> service participation </w:t>
            </w:r>
            <w:r>
              <w:t>rating</w:t>
            </w:r>
            <w:r w:rsidR="00912FF1">
              <w:t xml:space="preserve"> to contractors.</w:t>
            </w:r>
          </w:p>
          <w:p w14:paraId="36E0A15A" w14:textId="5EF647CF" w:rsidR="00E12F94" w:rsidRDefault="00E12F94" w:rsidP="00B3219E">
            <w:r>
              <w:t xml:space="preserve">Publication </w:t>
            </w:r>
            <w:r w:rsidR="00CF09FC">
              <w:t xml:space="preserve">of this recommendation </w:t>
            </w:r>
            <w:r>
              <w:t>will be via individual email and posting on our website.</w:t>
            </w:r>
          </w:p>
          <w:p w14:paraId="629AD8A1" w14:textId="1437575F" w:rsidR="00E12F94" w:rsidRPr="00912FF1" w:rsidRDefault="00E12F94" w:rsidP="00D01E8F">
            <w:pPr>
              <w:rPr>
                <w:strike/>
                <w:color w:val="FF0000"/>
              </w:rPr>
            </w:pPr>
            <w:r w:rsidRPr="00912FF1">
              <w:rPr>
                <w:strike/>
                <w:color w:val="FF0000"/>
              </w:rPr>
              <w:t>Commissioners are</w:t>
            </w:r>
            <w:r w:rsidR="00CF09FC" w:rsidRPr="00912FF1">
              <w:rPr>
                <w:strike/>
                <w:color w:val="FF0000"/>
              </w:rPr>
              <w:t xml:space="preserve"> asked to </w:t>
            </w:r>
            <w:r w:rsidR="00D01E8F" w:rsidRPr="00912FF1">
              <w:rPr>
                <w:strike/>
                <w:color w:val="FF0000"/>
              </w:rPr>
              <w:t xml:space="preserve">please </w:t>
            </w:r>
            <w:r w:rsidR="00CF09FC" w:rsidRPr="00912FF1">
              <w:rPr>
                <w:strike/>
                <w:color w:val="FF0000"/>
              </w:rPr>
              <w:t>respond promptly</w:t>
            </w:r>
            <w:r w:rsidR="00D01E8F" w:rsidRPr="00912FF1">
              <w:rPr>
                <w:strike/>
                <w:color w:val="FF0000"/>
              </w:rPr>
              <w:t xml:space="preserve"> with feedback / proposed changes so that they can be included within the </w:t>
            </w:r>
            <w:r w:rsidR="00CF09FC" w:rsidRPr="00912FF1">
              <w:rPr>
                <w:strike/>
                <w:color w:val="FF0000"/>
              </w:rPr>
              <w:t>LPC</w:t>
            </w:r>
            <w:r w:rsidR="00CE5827" w:rsidRPr="00912FF1">
              <w:rPr>
                <w:strike/>
                <w:color w:val="FF0000"/>
              </w:rPr>
              <w:t>’s</w:t>
            </w:r>
            <w:r w:rsidR="00CF09FC" w:rsidRPr="00912FF1">
              <w:rPr>
                <w:strike/>
                <w:color w:val="FF0000"/>
              </w:rPr>
              <w:t xml:space="preserve"> recommendation</w:t>
            </w:r>
            <w:r w:rsidR="00D01E8F" w:rsidRPr="00912FF1">
              <w:rPr>
                <w:strike/>
                <w:color w:val="FF0000"/>
              </w:rPr>
              <w:t xml:space="preserve"> to its contractors</w:t>
            </w:r>
            <w:r w:rsidR="00DA6A3F" w:rsidRPr="00912FF1">
              <w:rPr>
                <w:strike/>
                <w:color w:val="FF0000"/>
              </w:rPr>
              <w:t>.</w:t>
            </w:r>
          </w:p>
        </w:tc>
      </w:tr>
      <w:tr w:rsidR="00E12F94" w:rsidRPr="00460CB9" w14:paraId="5EA6B310" w14:textId="77777777" w:rsidTr="001535B4">
        <w:trPr>
          <w:trHeight w:val="557"/>
        </w:trPr>
        <w:tc>
          <w:tcPr>
            <w:tcW w:w="9242" w:type="dxa"/>
            <w:gridSpan w:val="4"/>
            <w:shd w:val="clear" w:color="auto" w:fill="auto"/>
            <w:vAlign w:val="center"/>
          </w:tcPr>
          <w:p w14:paraId="5A7BE901" w14:textId="77777777" w:rsidR="00E12F94" w:rsidRDefault="00E12F94" w:rsidP="001535B4">
            <w:pPr>
              <w:jc w:val="center"/>
              <w:rPr>
                <w:b/>
                <w:sz w:val="28"/>
                <w:szCs w:val="28"/>
              </w:rPr>
            </w:pPr>
            <w:r>
              <w:rPr>
                <w:b/>
                <w:sz w:val="28"/>
                <w:szCs w:val="28"/>
              </w:rPr>
              <w:t>Commissioners response to LPC feedback</w:t>
            </w:r>
          </w:p>
        </w:tc>
      </w:tr>
      <w:tr w:rsidR="00AC2ACA" w:rsidRPr="00460CB9" w14:paraId="5D94BD6A" w14:textId="77777777" w:rsidTr="002559E9">
        <w:trPr>
          <w:trHeight w:val="2672"/>
        </w:trPr>
        <w:tc>
          <w:tcPr>
            <w:tcW w:w="9242" w:type="dxa"/>
            <w:gridSpan w:val="4"/>
            <w:shd w:val="clear" w:color="auto" w:fill="auto"/>
          </w:tcPr>
          <w:p w14:paraId="292DB1AF" w14:textId="77777777" w:rsidR="00CF09FC" w:rsidRDefault="00CF09FC" w:rsidP="00DA6A3F">
            <w:pPr>
              <w:rPr>
                <w:color w:val="FF0000"/>
                <w:szCs w:val="28"/>
              </w:rPr>
            </w:pPr>
          </w:p>
          <w:p w14:paraId="3C3055A3" w14:textId="41DCE400" w:rsidR="00AC2ACA" w:rsidRDefault="004A4DA0" w:rsidP="00DA6A3F">
            <w:pPr>
              <w:rPr>
                <w:color w:val="FF0000"/>
                <w:szCs w:val="28"/>
              </w:rPr>
            </w:pPr>
            <w:r>
              <w:rPr>
                <w:color w:val="FF0000"/>
                <w:szCs w:val="28"/>
              </w:rPr>
              <w:t>Please enter response here,</w:t>
            </w:r>
            <w:r w:rsidR="00DA6A3F">
              <w:rPr>
                <w:color w:val="FF0000"/>
                <w:szCs w:val="28"/>
              </w:rPr>
              <w:t xml:space="preserve"> return</w:t>
            </w:r>
            <w:r>
              <w:rPr>
                <w:color w:val="FF0000"/>
                <w:szCs w:val="28"/>
              </w:rPr>
              <w:t>ing</w:t>
            </w:r>
            <w:r w:rsidR="00DA6A3F">
              <w:rPr>
                <w:color w:val="FF0000"/>
                <w:szCs w:val="28"/>
              </w:rPr>
              <w:t xml:space="preserve"> promptly to </w:t>
            </w:r>
            <w:hyperlink r:id="rId8" w:history="1">
              <w:r w:rsidR="00DA6A3F" w:rsidRPr="00286D59">
                <w:rPr>
                  <w:rStyle w:val="Hyperlink"/>
                  <w:szCs w:val="28"/>
                </w:rPr>
                <w:t>richard.buxton@hampshirelpc.org.uk</w:t>
              </w:r>
            </w:hyperlink>
            <w:r w:rsidR="00DA6A3F">
              <w:rPr>
                <w:color w:val="FF0000"/>
                <w:szCs w:val="28"/>
              </w:rPr>
              <w:t xml:space="preserve"> </w:t>
            </w:r>
          </w:p>
          <w:p w14:paraId="25522C7A" w14:textId="77777777" w:rsidR="00DA6A3F" w:rsidRDefault="00DA6A3F" w:rsidP="00DA6A3F">
            <w:pPr>
              <w:rPr>
                <w:color w:val="FF0000"/>
                <w:szCs w:val="28"/>
              </w:rPr>
            </w:pPr>
          </w:p>
          <w:p w14:paraId="5C810B20" w14:textId="75D17F9D" w:rsidR="00DA6A3F" w:rsidRPr="00DA6A3F" w:rsidRDefault="00912FF1" w:rsidP="00DA6A3F">
            <w:pPr>
              <w:rPr>
                <w:color w:val="FF0000"/>
                <w:szCs w:val="28"/>
              </w:rPr>
            </w:pPr>
            <w:r w:rsidRPr="00912FF1">
              <w:rPr>
                <w:color w:val="000000" w:themeColor="text1"/>
                <w:szCs w:val="28"/>
              </w:rPr>
              <w:t>N/A</w:t>
            </w:r>
          </w:p>
        </w:tc>
      </w:tr>
      <w:tr w:rsidR="00AC2ACA" w:rsidRPr="00460CB9" w14:paraId="36EABD72" w14:textId="77777777" w:rsidTr="0053198F">
        <w:trPr>
          <w:trHeight w:val="284"/>
        </w:trPr>
        <w:tc>
          <w:tcPr>
            <w:tcW w:w="2733" w:type="dxa"/>
            <w:gridSpan w:val="3"/>
            <w:tcBorders>
              <w:right w:val="single" w:sz="4" w:space="0" w:color="auto"/>
            </w:tcBorders>
            <w:shd w:val="clear" w:color="auto" w:fill="95B3D7" w:themeFill="accent1" w:themeFillTint="99"/>
          </w:tcPr>
          <w:p w14:paraId="2E336FD7" w14:textId="77777777" w:rsidR="00AC2ACA" w:rsidRPr="00460CB9" w:rsidRDefault="00AC2ACA" w:rsidP="00460CB9">
            <w:pPr>
              <w:jc w:val="center"/>
              <w:rPr>
                <w:b/>
              </w:rPr>
            </w:pPr>
            <w:r w:rsidRPr="00460CB9">
              <w:rPr>
                <w:b/>
              </w:rPr>
              <w:lastRenderedPageBreak/>
              <w:t>Point Covered</w:t>
            </w:r>
          </w:p>
        </w:tc>
        <w:tc>
          <w:tcPr>
            <w:tcW w:w="6509" w:type="dxa"/>
            <w:tcBorders>
              <w:left w:val="single" w:sz="4" w:space="0" w:color="auto"/>
            </w:tcBorders>
            <w:shd w:val="clear" w:color="auto" w:fill="95B3D7" w:themeFill="accent1" w:themeFillTint="99"/>
          </w:tcPr>
          <w:p w14:paraId="065646E7" w14:textId="77777777" w:rsidR="00AC2ACA" w:rsidRPr="00460CB9" w:rsidRDefault="00AC2ACA" w:rsidP="00460CB9">
            <w:pPr>
              <w:jc w:val="center"/>
              <w:rPr>
                <w:b/>
              </w:rPr>
            </w:pPr>
            <w:r w:rsidRPr="00460CB9">
              <w:rPr>
                <w:b/>
              </w:rPr>
              <w:t xml:space="preserve">Action </w:t>
            </w:r>
            <w:r>
              <w:rPr>
                <w:b/>
              </w:rPr>
              <w:t>or Notes</w:t>
            </w:r>
          </w:p>
        </w:tc>
      </w:tr>
      <w:tr w:rsidR="00AC2ACA" w14:paraId="74C8BB4C" w14:textId="77777777" w:rsidTr="0053198F">
        <w:trPr>
          <w:trHeight w:val="567"/>
        </w:trPr>
        <w:tc>
          <w:tcPr>
            <w:tcW w:w="401" w:type="dxa"/>
            <w:gridSpan w:val="2"/>
            <w:tcBorders>
              <w:right w:val="nil"/>
            </w:tcBorders>
          </w:tcPr>
          <w:p w14:paraId="66729AB9" w14:textId="77777777" w:rsidR="00AC2ACA" w:rsidRDefault="00AC2ACA"/>
        </w:tc>
        <w:tc>
          <w:tcPr>
            <w:tcW w:w="8841" w:type="dxa"/>
            <w:gridSpan w:val="2"/>
            <w:tcBorders>
              <w:left w:val="nil"/>
            </w:tcBorders>
            <w:vAlign w:val="center"/>
          </w:tcPr>
          <w:p w14:paraId="55A6A304" w14:textId="77777777" w:rsidR="00AC2ACA" w:rsidRPr="0053198F" w:rsidRDefault="00AC2ACA" w:rsidP="00460CB9">
            <w:pPr>
              <w:jc w:val="center"/>
              <w:rPr>
                <w:sz w:val="28"/>
                <w:szCs w:val="28"/>
              </w:rPr>
            </w:pPr>
            <w:r w:rsidRPr="0053198F">
              <w:rPr>
                <w:b/>
                <w:sz w:val="28"/>
                <w:szCs w:val="28"/>
              </w:rPr>
              <w:t>LPC Consultation</w:t>
            </w:r>
          </w:p>
        </w:tc>
      </w:tr>
      <w:tr w:rsidR="00AC2ACA" w14:paraId="2FA224F7" w14:textId="77777777" w:rsidTr="000D51A7">
        <w:trPr>
          <w:trHeight w:val="454"/>
        </w:trPr>
        <w:tc>
          <w:tcPr>
            <w:tcW w:w="2733" w:type="dxa"/>
            <w:gridSpan w:val="3"/>
            <w:vAlign w:val="center"/>
          </w:tcPr>
          <w:p w14:paraId="53C6538F" w14:textId="77777777" w:rsidR="00AC2ACA" w:rsidRDefault="00AC2ACA" w:rsidP="0053198F">
            <w:r>
              <w:t xml:space="preserve">LPC Consulted? </w:t>
            </w:r>
          </w:p>
        </w:tc>
        <w:tc>
          <w:tcPr>
            <w:tcW w:w="6509" w:type="dxa"/>
            <w:shd w:val="clear" w:color="auto" w:fill="00B050"/>
          </w:tcPr>
          <w:p w14:paraId="7A808603" w14:textId="5F2F26CF" w:rsidR="00AC2ACA" w:rsidRDefault="00B511A9">
            <w:r>
              <w:t>Yes</w:t>
            </w:r>
          </w:p>
        </w:tc>
      </w:tr>
      <w:tr w:rsidR="00AC2ACA" w14:paraId="5AC5A2C0" w14:textId="77777777" w:rsidTr="002559E9">
        <w:trPr>
          <w:trHeight w:val="1736"/>
        </w:trPr>
        <w:tc>
          <w:tcPr>
            <w:tcW w:w="2733" w:type="dxa"/>
            <w:gridSpan w:val="3"/>
            <w:vAlign w:val="center"/>
          </w:tcPr>
          <w:p w14:paraId="58245467" w14:textId="27C29BDE" w:rsidR="00AC2ACA" w:rsidRDefault="00AC2ACA" w:rsidP="00E8310F">
            <w:r>
              <w:t>LPC Consulted with sufficient time to comment?</w:t>
            </w:r>
          </w:p>
        </w:tc>
        <w:tc>
          <w:tcPr>
            <w:tcW w:w="6509" w:type="dxa"/>
            <w:shd w:val="clear" w:color="auto" w:fill="00B050"/>
          </w:tcPr>
          <w:p w14:paraId="01E01006" w14:textId="77777777" w:rsidR="00AC2ACA" w:rsidRDefault="00B511A9">
            <w:r>
              <w:t>Yes</w:t>
            </w:r>
          </w:p>
          <w:p w14:paraId="30CFE9E7" w14:textId="6A018543" w:rsidR="005F21E8" w:rsidRDefault="005F21E8" w:rsidP="00AE01F1">
            <w:r>
              <w:t xml:space="preserve">Phased pilot approach, with </w:t>
            </w:r>
            <w:r w:rsidR="00AE01F1">
              <w:t>Wessex</w:t>
            </w:r>
            <w:r>
              <w:t xml:space="preserve"> going liv</w:t>
            </w:r>
            <w:r w:rsidR="0091041C">
              <w:t>e in Phase 4, March 2017 start. *</w:t>
            </w:r>
            <w:r w:rsidR="0091041C" w:rsidRPr="0091041C">
              <w:rPr>
                <w:i/>
                <w:sz w:val="16"/>
                <w:szCs w:val="16"/>
              </w:rPr>
              <w:t>(schedule)</w:t>
            </w:r>
            <w:r w:rsidR="0091041C">
              <w:t xml:space="preserve"> </w:t>
            </w:r>
          </w:p>
          <w:p w14:paraId="04C6D428" w14:textId="7349BD5D" w:rsidR="007133B7" w:rsidRDefault="007133B7">
            <w:r>
              <w:t xml:space="preserve">Each pharmacy site required to </w:t>
            </w:r>
            <w:hyperlink r:id="rId9" w:history="1">
              <w:r w:rsidRPr="007133B7">
                <w:rPr>
                  <w:rStyle w:val="Hyperlink"/>
                </w:rPr>
                <w:t>sign-up</w:t>
              </w:r>
            </w:hyperlink>
            <w:r>
              <w:t xml:space="preserve"> individually</w:t>
            </w:r>
            <w:r w:rsidR="00807DFF">
              <w:t>.</w:t>
            </w:r>
          </w:p>
        </w:tc>
      </w:tr>
      <w:tr w:rsidR="00AC2ACA" w14:paraId="5E44D587" w14:textId="77777777" w:rsidTr="0053198F">
        <w:trPr>
          <w:trHeight w:val="567"/>
        </w:trPr>
        <w:tc>
          <w:tcPr>
            <w:tcW w:w="401" w:type="dxa"/>
            <w:gridSpan w:val="2"/>
            <w:tcBorders>
              <w:right w:val="nil"/>
            </w:tcBorders>
          </w:tcPr>
          <w:p w14:paraId="6B017DA2" w14:textId="77777777" w:rsidR="00AC2ACA" w:rsidRDefault="00AC2ACA"/>
        </w:tc>
        <w:tc>
          <w:tcPr>
            <w:tcW w:w="8841" w:type="dxa"/>
            <w:gridSpan w:val="2"/>
            <w:tcBorders>
              <w:left w:val="nil"/>
            </w:tcBorders>
            <w:vAlign w:val="center"/>
          </w:tcPr>
          <w:p w14:paraId="333DA08B" w14:textId="77777777" w:rsidR="00AC2ACA" w:rsidRPr="0053198F" w:rsidRDefault="00AC2ACA" w:rsidP="00460CB9">
            <w:pPr>
              <w:jc w:val="center"/>
              <w:rPr>
                <w:b/>
                <w:sz w:val="28"/>
                <w:szCs w:val="28"/>
              </w:rPr>
            </w:pPr>
            <w:r w:rsidRPr="0053198F">
              <w:rPr>
                <w:b/>
                <w:sz w:val="28"/>
                <w:szCs w:val="28"/>
              </w:rPr>
              <w:t>Remuneration</w:t>
            </w:r>
          </w:p>
        </w:tc>
      </w:tr>
      <w:tr w:rsidR="00AC2ACA" w14:paraId="7CBA263C" w14:textId="77777777" w:rsidTr="000D51A7">
        <w:trPr>
          <w:trHeight w:val="284"/>
        </w:trPr>
        <w:tc>
          <w:tcPr>
            <w:tcW w:w="2733" w:type="dxa"/>
            <w:gridSpan w:val="3"/>
            <w:vAlign w:val="center"/>
          </w:tcPr>
          <w:p w14:paraId="2AA71D79" w14:textId="55EA3453" w:rsidR="00AC2ACA" w:rsidRDefault="00AC2ACA" w:rsidP="0053198F">
            <w:r>
              <w:t>Does remuneration include/cover set up costs, backfill, consumables etc</w:t>
            </w:r>
            <w:r w:rsidR="007F001C">
              <w:t>..?</w:t>
            </w:r>
          </w:p>
        </w:tc>
        <w:tc>
          <w:tcPr>
            <w:tcW w:w="6509" w:type="dxa"/>
            <w:shd w:val="clear" w:color="auto" w:fill="00B050"/>
          </w:tcPr>
          <w:p w14:paraId="68227D14" w14:textId="47980378" w:rsidR="00AC2ACA" w:rsidRDefault="00B511A9">
            <w:r>
              <w:t>No set up, backfill or consumables costs involved.</w:t>
            </w:r>
          </w:p>
          <w:p w14:paraId="0E25451B" w14:textId="77777777" w:rsidR="00AC2ACA" w:rsidRDefault="00AC2ACA"/>
          <w:p w14:paraId="46D8D24F" w14:textId="77777777" w:rsidR="00AC2ACA" w:rsidRDefault="00AC2ACA"/>
          <w:p w14:paraId="0708EEB4" w14:textId="77777777" w:rsidR="00AC2ACA" w:rsidRDefault="00AC2ACA"/>
        </w:tc>
      </w:tr>
      <w:tr w:rsidR="00AC2ACA" w14:paraId="6A7452EE" w14:textId="77777777" w:rsidTr="00D30E30">
        <w:trPr>
          <w:trHeight w:val="1448"/>
        </w:trPr>
        <w:tc>
          <w:tcPr>
            <w:tcW w:w="2733" w:type="dxa"/>
            <w:gridSpan w:val="3"/>
            <w:vAlign w:val="center"/>
          </w:tcPr>
          <w:p w14:paraId="0C59CA81" w14:textId="77777777" w:rsidR="00AC2ACA" w:rsidRDefault="00AC2ACA" w:rsidP="0053198F">
            <w:r>
              <w:t>Does the payment structure use a system that is suitable for all contractors and are the payment terms acceptable?</w:t>
            </w:r>
          </w:p>
        </w:tc>
        <w:tc>
          <w:tcPr>
            <w:tcW w:w="6509" w:type="dxa"/>
            <w:tcBorders>
              <w:bottom w:val="single" w:sz="4" w:space="0" w:color="auto"/>
            </w:tcBorders>
            <w:shd w:val="clear" w:color="auto" w:fill="FFC000"/>
          </w:tcPr>
          <w:p w14:paraId="62D4469D" w14:textId="08CA4E98" w:rsidR="00AC2ACA" w:rsidRDefault="00912FF1">
            <w:r>
              <w:t>Yes</w:t>
            </w:r>
          </w:p>
          <w:p w14:paraId="3074E9D8" w14:textId="530BE3F5" w:rsidR="00697410" w:rsidRDefault="00912FF1">
            <w:r>
              <w:t>Monthly paper claim via NHS BSA (separate envelope</w:t>
            </w:r>
            <w:r w:rsidR="00C547A5">
              <w:t xml:space="preserve"> to other FP10 forms</w:t>
            </w:r>
            <w:r>
              <w:t>)</w:t>
            </w:r>
            <w:r w:rsidR="00C547A5">
              <w:t>.</w:t>
            </w:r>
          </w:p>
          <w:p w14:paraId="6BBA7055" w14:textId="2BF99F11" w:rsidR="00C547A5" w:rsidRDefault="00EF1331">
            <w:hyperlink r:id="rId10" w:history="1">
              <w:r w:rsidR="00C547A5" w:rsidRPr="005A4549">
                <w:rPr>
                  <w:rStyle w:val="Hyperlink"/>
                </w:rPr>
                <w:t>Claim form</w:t>
              </w:r>
            </w:hyperlink>
            <w:r w:rsidR="00C547A5">
              <w:t xml:space="preserve"> to be submitted along with completed FP10DT EPS dispensing tokens, not later than the 5</w:t>
            </w:r>
            <w:r w:rsidR="00C547A5" w:rsidRPr="00C547A5">
              <w:rPr>
                <w:vertAlign w:val="superscript"/>
              </w:rPr>
              <w:t>th</w:t>
            </w:r>
            <w:r w:rsidR="00C547A5">
              <w:t xml:space="preserve"> day of the month.</w:t>
            </w:r>
          </w:p>
        </w:tc>
      </w:tr>
      <w:tr w:rsidR="00AC2ACA" w14:paraId="217E4207" w14:textId="77777777" w:rsidTr="002559E9">
        <w:trPr>
          <w:trHeight w:val="1736"/>
        </w:trPr>
        <w:tc>
          <w:tcPr>
            <w:tcW w:w="2733" w:type="dxa"/>
            <w:gridSpan w:val="3"/>
            <w:vAlign w:val="center"/>
          </w:tcPr>
          <w:p w14:paraId="0B9E5D97" w14:textId="103BBDEB" w:rsidR="00AC2ACA" w:rsidRDefault="00AC2ACA" w:rsidP="0053198F">
            <w:r>
              <w:t>Where equipment is required who pr</w:t>
            </w:r>
            <w:r w:rsidR="007F001C">
              <w:t>ovides/calibrates/services this?</w:t>
            </w:r>
            <w:r>
              <w:t xml:space="preserve"> If contractor</w:t>
            </w:r>
            <w:r w:rsidR="007F001C">
              <w:t>,</w:t>
            </w:r>
            <w:r>
              <w:t xml:space="preserve"> does remuneration sufficiently cover the cost of this?</w:t>
            </w:r>
          </w:p>
        </w:tc>
        <w:tc>
          <w:tcPr>
            <w:tcW w:w="6509" w:type="dxa"/>
            <w:tcBorders>
              <w:bottom w:val="single" w:sz="4" w:space="0" w:color="auto"/>
            </w:tcBorders>
            <w:shd w:val="clear" w:color="auto" w:fill="FFC000"/>
          </w:tcPr>
          <w:p w14:paraId="49E7F253" w14:textId="6248314B" w:rsidR="00C547A5" w:rsidRDefault="00C547A5" w:rsidP="00D30E30">
            <w:pPr>
              <w:shd w:val="clear" w:color="auto" w:fill="00B050"/>
            </w:pPr>
            <w:r>
              <w:t>Pharmacy must be EPS enabled.</w:t>
            </w:r>
          </w:p>
          <w:p w14:paraId="55791743" w14:textId="22B5B7FE" w:rsidR="00AC2ACA" w:rsidRDefault="001950EE" w:rsidP="00912FF1">
            <w:r>
              <w:t>Pharmacy required to have a shared</w:t>
            </w:r>
            <w:r w:rsidR="005F21E8">
              <w:t xml:space="preserve"> NHSmail account to receive appropriate referrals from NHS111</w:t>
            </w:r>
            <w:r w:rsidR="00096E20">
              <w:t>.</w:t>
            </w:r>
          </w:p>
        </w:tc>
      </w:tr>
      <w:tr w:rsidR="00674853" w14:paraId="24AC69E5" w14:textId="77777777" w:rsidTr="002559E9">
        <w:trPr>
          <w:trHeight w:val="2807"/>
        </w:trPr>
        <w:tc>
          <w:tcPr>
            <w:tcW w:w="2733" w:type="dxa"/>
            <w:gridSpan w:val="3"/>
            <w:vAlign w:val="center"/>
          </w:tcPr>
          <w:p w14:paraId="10BCC630" w14:textId="69984467" w:rsidR="00674853" w:rsidRDefault="00674853" w:rsidP="0053198F">
            <w:r>
              <w:t>Is remuneration fair?</w:t>
            </w:r>
          </w:p>
        </w:tc>
        <w:tc>
          <w:tcPr>
            <w:tcW w:w="6509" w:type="dxa"/>
            <w:shd w:val="clear" w:color="auto" w:fill="FFC000"/>
          </w:tcPr>
          <w:p w14:paraId="66A65C02" w14:textId="0FE69100" w:rsidR="00912FF1" w:rsidRDefault="00096E20" w:rsidP="00B511A9">
            <w:r>
              <w:t>Yes</w:t>
            </w:r>
          </w:p>
          <w:p w14:paraId="55DEAD85" w14:textId="17249890" w:rsidR="00674853" w:rsidRDefault="00B511A9" w:rsidP="00B511A9">
            <w:r>
              <w:t xml:space="preserve">Remuneration is </w:t>
            </w:r>
            <w:r w:rsidR="00912FF1">
              <w:t>a little over complicated but not far off current rate of PURM service in Wessex (except IOW)</w:t>
            </w:r>
          </w:p>
          <w:p w14:paraId="71FD8C00" w14:textId="4025840A" w:rsidR="00697410" w:rsidRDefault="00697410" w:rsidP="00B511A9">
            <w:r>
              <w:t xml:space="preserve">professional fee plus </w:t>
            </w:r>
            <w:r w:rsidR="00912FF1">
              <w:t>administration fee plus</w:t>
            </w:r>
            <w:bookmarkStart w:id="0" w:name="_GoBack"/>
            <w:bookmarkEnd w:id="0"/>
            <w:r w:rsidR="00912FF1">
              <w:t xml:space="preserve"> supply fee for first drug and 50p</w:t>
            </w:r>
            <w:r>
              <w:t xml:space="preserve"> per additional ite</w:t>
            </w:r>
            <w:r w:rsidR="001C77B7">
              <w:t xml:space="preserve">m if more than one and then </w:t>
            </w:r>
            <w:r>
              <w:t>cost price of the drug (Drug Tariff price)</w:t>
            </w:r>
            <w:r w:rsidR="00C51B6B">
              <w:t xml:space="preserve"> +VAT</w:t>
            </w:r>
            <w:r w:rsidR="00912FF1">
              <w:t>.</w:t>
            </w:r>
          </w:p>
          <w:p w14:paraId="281545C4" w14:textId="77777777" w:rsidR="00C547A5" w:rsidRDefault="00912FF1" w:rsidP="00B511A9">
            <w:r>
              <w:t>Nb. The Professional and administration fees can be claimed for each referral received, regardless of whether a supply is made to the patient or not.</w:t>
            </w:r>
          </w:p>
          <w:p w14:paraId="350BE712" w14:textId="62F0DB01" w:rsidR="005C2355" w:rsidRDefault="005C2355" w:rsidP="0091041C">
            <w:r>
              <w:t>**</w:t>
            </w:r>
            <w:r w:rsidR="0091041C">
              <w:rPr>
                <w:i/>
                <w:sz w:val="16"/>
                <w:szCs w:val="16"/>
              </w:rPr>
              <w:t>(PSNC comments</w:t>
            </w:r>
            <w:r w:rsidR="0091041C" w:rsidRPr="0091041C">
              <w:rPr>
                <w:i/>
                <w:sz w:val="16"/>
                <w:szCs w:val="16"/>
              </w:rPr>
              <w:t>)</w:t>
            </w:r>
          </w:p>
        </w:tc>
      </w:tr>
      <w:tr w:rsidR="00674853" w14:paraId="573E4F34" w14:textId="77777777" w:rsidTr="0053198F">
        <w:trPr>
          <w:trHeight w:val="567"/>
        </w:trPr>
        <w:tc>
          <w:tcPr>
            <w:tcW w:w="250" w:type="dxa"/>
            <w:tcBorders>
              <w:right w:val="nil"/>
            </w:tcBorders>
            <w:vAlign w:val="center"/>
          </w:tcPr>
          <w:p w14:paraId="03B7D479" w14:textId="26F0C4FA" w:rsidR="00674853" w:rsidRDefault="00674853" w:rsidP="0053198F"/>
        </w:tc>
        <w:tc>
          <w:tcPr>
            <w:tcW w:w="8992" w:type="dxa"/>
            <w:gridSpan w:val="3"/>
            <w:tcBorders>
              <w:left w:val="nil"/>
            </w:tcBorders>
            <w:vAlign w:val="center"/>
          </w:tcPr>
          <w:p w14:paraId="3E5ED5D6" w14:textId="77777777" w:rsidR="00674853" w:rsidRPr="0053198F" w:rsidRDefault="00674853" w:rsidP="0053198F">
            <w:pPr>
              <w:jc w:val="center"/>
              <w:rPr>
                <w:b/>
                <w:sz w:val="28"/>
                <w:szCs w:val="28"/>
              </w:rPr>
            </w:pPr>
            <w:r>
              <w:rPr>
                <w:b/>
                <w:sz w:val="28"/>
                <w:szCs w:val="28"/>
              </w:rPr>
              <w:t>Is/does t</w:t>
            </w:r>
            <w:r w:rsidRPr="0053198F">
              <w:rPr>
                <w:b/>
                <w:sz w:val="28"/>
                <w:szCs w:val="28"/>
              </w:rPr>
              <w:t>he Service</w:t>
            </w:r>
            <w:r>
              <w:rPr>
                <w:b/>
                <w:sz w:val="28"/>
                <w:szCs w:val="28"/>
              </w:rPr>
              <w:t>.....</w:t>
            </w:r>
          </w:p>
        </w:tc>
      </w:tr>
      <w:tr w:rsidR="00674853" w14:paraId="4477199B" w14:textId="77777777" w:rsidTr="00F36554">
        <w:trPr>
          <w:trHeight w:val="917"/>
        </w:trPr>
        <w:tc>
          <w:tcPr>
            <w:tcW w:w="2733" w:type="dxa"/>
            <w:gridSpan w:val="3"/>
            <w:vAlign w:val="center"/>
          </w:tcPr>
          <w:p w14:paraId="0C715D47" w14:textId="77777777" w:rsidR="00674853" w:rsidRDefault="00674853" w:rsidP="00E8310F">
            <w:r>
              <w:t>Sustainable?</w:t>
            </w:r>
          </w:p>
        </w:tc>
        <w:tc>
          <w:tcPr>
            <w:tcW w:w="6509" w:type="dxa"/>
            <w:shd w:val="clear" w:color="auto" w:fill="FFC000"/>
          </w:tcPr>
          <w:p w14:paraId="51AEA9CC" w14:textId="77777777" w:rsidR="002559E9" w:rsidRDefault="002659DC">
            <w:r>
              <w:t>Don’t know as service is only a pilot</w:t>
            </w:r>
            <w:r w:rsidR="002559E9">
              <w:t>.</w:t>
            </w:r>
          </w:p>
          <w:p w14:paraId="74142908" w14:textId="4DD1DB32" w:rsidR="002659DC" w:rsidRDefault="002559E9" w:rsidP="002559E9">
            <w:pPr>
              <w:shd w:val="clear" w:color="auto" w:fill="00B050"/>
            </w:pPr>
            <w:r>
              <w:t>However, the locally commissioned current urgent supply services</w:t>
            </w:r>
            <w:r w:rsidR="00F36554">
              <w:t xml:space="preserve"> in Wessex (except IOW) &amp; IOW</w:t>
            </w:r>
            <w:r>
              <w:t xml:space="preserve"> have been agreed to continue.</w:t>
            </w:r>
          </w:p>
        </w:tc>
      </w:tr>
      <w:tr w:rsidR="00674853" w14:paraId="16A74219" w14:textId="77777777" w:rsidTr="000D51A7">
        <w:trPr>
          <w:trHeight w:val="935"/>
        </w:trPr>
        <w:tc>
          <w:tcPr>
            <w:tcW w:w="2733" w:type="dxa"/>
            <w:gridSpan w:val="3"/>
            <w:vAlign w:val="center"/>
          </w:tcPr>
          <w:p w14:paraId="281E3955" w14:textId="34B4CAA8" w:rsidR="00674853" w:rsidRDefault="00674853" w:rsidP="00E8310F">
            <w:r>
              <w:t>Clinically sound and in line with appropriate National or local guidance?</w:t>
            </w:r>
          </w:p>
        </w:tc>
        <w:tc>
          <w:tcPr>
            <w:tcW w:w="6509" w:type="dxa"/>
            <w:shd w:val="clear" w:color="auto" w:fill="00B050"/>
          </w:tcPr>
          <w:p w14:paraId="1F65DFA3" w14:textId="76298BF9" w:rsidR="00674853" w:rsidRDefault="00B511A9">
            <w:r>
              <w:t xml:space="preserve">No issues, as current emergency supply </w:t>
            </w:r>
            <w:r w:rsidR="005F25A9">
              <w:t xml:space="preserve">legislation </w:t>
            </w:r>
            <w:r>
              <w:t>still applies.</w:t>
            </w:r>
          </w:p>
          <w:p w14:paraId="2A8A4C8B" w14:textId="16414533" w:rsidR="00B511A9" w:rsidRDefault="00FE2553" w:rsidP="00FE2553">
            <w:r>
              <w:t>Declaration of consent to receive the service is obtained by NHS111.</w:t>
            </w:r>
          </w:p>
        </w:tc>
      </w:tr>
      <w:tr w:rsidR="00674853" w14:paraId="5B9C68F9" w14:textId="77777777" w:rsidTr="000D51A7">
        <w:trPr>
          <w:trHeight w:val="341"/>
        </w:trPr>
        <w:tc>
          <w:tcPr>
            <w:tcW w:w="2733" w:type="dxa"/>
            <w:gridSpan w:val="3"/>
            <w:vAlign w:val="center"/>
          </w:tcPr>
          <w:p w14:paraId="299F6524" w14:textId="1CD18364" w:rsidR="00674853" w:rsidRDefault="00674853" w:rsidP="00E8310F">
            <w:r>
              <w:lastRenderedPageBreak/>
              <w:t>Enhance patient care?</w:t>
            </w:r>
          </w:p>
        </w:tc>
        <w:tc>
          <w:tcPr>
            <w:tcW w:w="6509" w:type="dxa"/>
            <w:shd w:val="clear" w:color="auto" w:fill="00B050"/>
          </w:tcPr>
          <w:p w14:paraId="5484A5D4" w14:textId="77777777" w:rsidR="005F21E8" w:rsidRDefault="005F21E8">
            <w:r>
              <w:t>Yes</w:t>
            </w:r>
          </w:p>
          <w:p w14:paraId="4E0D1D73" w14:textId="01237B56" w:rsidR="005F21E8" w:rsidRDefault="005F21E8">
            <w:r>
              <w:t>S</w:t>
            </w:r>
            <w:r w:rsidR="00B511A9">
              <w:t>peeds up provision of POM medication in emergency</w:t>
            </w:r>
            <w:r>
              <w:t xml:space="preserve"> in an equitable way irrespective of the patient’s ability to pay. </w:t>
            </w:r>
          </w:p>
          <w:p w14:paraId="62F7E86C" w14:textId="682F9EB0" w:rsidR="00674853" w:rsidRDefault="005F21E8">
            <w:r>
              <w:t>Reduces demand on rest of the urgent care system.</w:t>
            </w:r>
          </w:p>
        </w:tc>
      </w:tr>
      <w:tr w:rsidR="00674853" w14:paraId="125299A8" w14:textId="77777777" w:rsidTr="000D51A7">
        <w:trPr>
          <w:trHeight w:val="872"/>
        </w:trPr>
        <w:tc>
          <w:tcPr>
            <w:tcW w:w="2733" w:type="dxa"/>
            <w:gridSpan w:val="3"/>
            <w:vAlign w:val="center"/>
          </w:tcPr>
          <w:p w14:paraId="1A740E52" w14:textId="7FDA9F70" w:rsidR="00674853" w:rsidRDefault="00674853" w:rsidP="00E8310F">
            <w:r>
              <w:t>Have suitable monitoring arrangements and termination clauses?</w:t>
            </w:r>
          </w:p>
        </w:tc>
        <w:tc>
          <w:tcPr>
            <w:tcW w:w="6509" w:type="dxa"/>
            <w:shd w:val="clear" w:color="auto" w:fill="00B050"/>
          </w:tcPr>
          <w:p w14:paraId="71562EE9" w14:textId="1A216381" w:rsidR="00C8050F" w:rsidRDefault="00C8050F">
            <w:r>
              <w:t>One months’ notice if the</w:t>
            </w:r>
            <w:r w:rsidR="00966A29">
              <w:t xml:space="preserve"> pharmacy wishes to terminate must be given to NHS England via completion of an electronic form on the NHS BSA website.</w:t>
            </w:r>
          </w:p>
        </w:tc>
      </w:tr>
      <w:tr w:rsidR="00674853" w14:paraId="2FF73E44" w14:textId="77777777" w:rsidTr="000D51A7">
        <w:trPr>
          <w:trHeight w:val="284"/>
        </w:trPr>
        <w:tc>
          <w:tcPr>
            <w:tcW w:w="2733" w:type="dxa"/>
            <w:gridSpan w:val="3"/>
            <w:vAlign w:val="center"/>
          </w:tcPr>
          <w:p w14:paraId="05DD82FF" w14:textId="2CAA5079" w:rsidR="00674853" w:rsidRDefault="00674853" w:rsidP="00E8310F">
            <w:r>
              <w:t>Enhance relationships with other HCPs?</w:t>
            </w:r>
          </w:p>
        </w:tc>
        <w:tc>
          <w:tcPr>
            <w:tcW w:w="6509" w:type="dxa"/>
            <w:shd w:val="clear" w:color="auto" w:fill="00B050"/>
          </w:tcPr>
          <w:p w14:paraId="404B667B" w14:textId="77777777" w:rsidR="00C51B6B" w:rsidRDefault="00B511A9">
            <w:r>
              <w:t>Yes</w:t>
            </w:r>
          </w:p>
          <w:p w14:paraId="4A6D919F" w14:textId="77777777" w:rsidR="00C51B6B" w:rsidRDefault="00C51B6B">
            <w:r>
              <w:t>R</w:t>
            </w:r>
            <w:r w:rsidR="000D51A7">
              <w:t>educes burden of unnecessary onward referral.</w:t>
            </w:r>
            <w:r w:rsidR="005F21E8">
              <w:t xml:space="preserve"> </w:t>
            </w:r>
          </w:p>
          <w:p w14:paraId="1DF7369F" w14:textId="68785355" w:rsidR="00674853" w:rsidRDefault="005F21E8">
            <w:r>
              <w:t>Allows endorsement of eRD suitability to patients.</w:t>
            </w:r>
          </w:p>
        </w:tc>
      </w:tr>
      <w:tr w:rsidR="00674853" w14:paraId="0663853B" w14:textId="77777777" w:rsidTr="000D51A7">
        <w:trPr>
          <w:trHeight w:val="359"/>
        </w:trPr>
        <w:tc>
          <w:tcPr>
            <w:tcW w:w="2733" w:type="dxa"/>
            <w:gridSpan w:val="3"/>
            <w:vAlign w:val="center"/>
          </w:tcPr>
          <w:p w14:paraId="3B1C7BA3" w14:textId="77777777" w:rsidR="00674853" w:rsidRDefault="00674853" w:rsidP="00E8310F">
            <w:r>
              <w:t>Deliverable?</w:t>
            </w:r>
          </w:p>
        </w:tc>
        <w:tc>
          <w:tcPr>
            <w:tcW w:w="6509" w:type="dxa"/>
            <w:shd w:val="clear" w:color="auto" w:fill="00B050"/>
          </w:tcPr>
          <w:p w14:paraId="5D0E3DBE" w14:textId="0E4B6A43" w:rsidR="00674853" w:rsidRDefault="00B511A9" w:rsidP="00E8310F">
            <w:r>
              <w:t>Yes</w:t>
            </w:r>
          </w:p>
        </w:tc>
      </w:tr>
      <w:tr w:rsidR="00674853" w14:paraId="3E4D7843" w14:textId="77777777" w:rsidTr="000D51A7">
        <w:trPr>
          <w:trHeight w:val="908"/>
        </w:trPr>
        <w:tc>
          <w:tcPr>
            <w:tcW w:w="2733" w:type="dxa"/>
            <w:gridSpan w:val="3"/>
            <w:vAlign w:val="center"/>
          </w:tcPr>
          <w:p w14:paraId="32FAEECB" w14:textId="77777777" w:rsidR="00674853" w:rsidRDefault="00674853" w:rsidP="00E8310F">
            <w:r>
              <w:t>Attractive enough for contractors to consider it worthwhile?</w:t>
            </w:r>
          </w:p>
        </w:tc>
        <w:tc>
          <w:tcPr>
            <w:tcW w:w="6509" w:type="dxa"/>
            <w:shd w:val="clear" w:color="auto" w:fill="00B050"/>
          </w:tcPr>
          <w:p w14:paraId="23A373A7" w14:textId="77777777" w:rsidR="00912FF1" w:rsidRDefault="00B511A9" w:rsidP="00912FF1">
            <w:r>
              <w:t xml:space="preserve">Yes </w:t>
            </w:r>
          </w:p>
          <w:p w14:paraId="02F991D2" w14:textId="77777777" w:rsidR="00674853" w:rsidRDefault="00912FF1" w:rsidP="00912FF1">
            <w:r>
              <w:t>P</w:t>
            </w:r>
            <w:r w:rsidR="00B511A9">
              <w:t>rovides solution to unnecessary onward referral of patients to Urgent or Emergency care services currently dependent on their exemption status.</w:t>
            </w:r>
          </w:p>
          <w:p w14:paraId="096F4266" w14:textId="77777777" w:rsidR="00C51B6B" w:rsidRPr="002559E9" w:rsidRDefault="00912FF1" w:rsidP="002559E9">
            <w:pPr>
              <w:shd w:val="clear" w:color="auto" w:fill="FFC000"/>
              <w:rPr>
                <w:shd w:val="clear" w:color="auto" w:fill="FFC000"/>
              </w:rPr>
            </w:pPr>
            <w:r w:rsidRPr="002559E9">
              <w:rPr>
                <w:shd w:val="clear" w:color="auto" w:fill="FFC000"/>
              </w:rPr>
              <w:t>Unfortunately, the service can only be used by pat</w:t>
            </w:r>
            <w:r w:rsidR="00C51B6B" w:rsidRPr="002559E9">
              <w:rPr>
                <w:shd w:val="clear" w:color="auto" w:fill="FFC000"/>
              </w:rPr>
              <w:t>ients that are</w:t>
            </w:r>
          </w:p>
          <w:p w14:paraId="5FA7AABA" w14:textId="76BD2669" w:rsidR="00912FF1" w:rsidRDefault="00912FF1" w:rsidP="00AE01F1">
            <w:pPr>
              <w:shd w:val="clear" w:color="auto" w:fill="FFC000"/>
            </w:pPr>
            <w:r w:rsidRPr="002559E9">
              <w:rPr>
                <w:shd w:val="clear" w:color="auto" w:fill="FFC000"/>
              </w:rPr>
              <w:t>referred from NHS111, and hence the accessibility is not as good as</w:t>
            </w:r>
            <w:r w:rsidRPr="002659DC">
              <w:rPr>
                <w:shd w:val="clear" w:color="auto" w:fill="FF0000"/>
              </w:rPr>
              <w:t xml:space="preserve"> </w:t>
            </w:r>
            <w:r w:rsidR="002559E9">
              <w:t xml:space="preserve">the current </w:t>
            </w:r>
            <w:r w:rsidRPr="002559E9">
              <w:t>Wessex</w:t>
            </w:r>
            <w:r w:rsidR="002559E9">
              <w:t xml:space="preserve"> PURM or</w:t>
            </w:r>
            <w:r w:rsidRPr="002559E9">
              <w:t xml:space="preserve"> IOW</w:t>
            </w:r>
            <w:r w:rsidR="002559E9">
              <w:t xml:space="preserve"> Urgent Supply </w:t>
            </w:r>
            <w:r w:rsidR="00AE01F1">
              <w:t>locally commissioned services</w:t>
            </w:r>
            <w:r w:rsidR="002559E9" w:rsidRPr="002559E9">
              <w:t xml:space="preserve">. These two </w:t>
            </w:r>
            <w:r w:rsidR="00AE01F1">
              <w:t xml:space="preserve">local </w:t>
            </w:r>
            <w:r w:rsidR="002559E9" w:rsidRPr="002559E9">
              <w:t>services have now been agreed to continue</w:t>
            </w:r>
            <w:r w:rsidR="00AE01F1">
              <w:t xml:space="preserve"> for patients either telephoning of presenting directly at the pharmacy rather than referred from NHS111.</w:t>
            </w:r>
          </w:p>
        </w:tc>
      </w:tr>
      <w:tr w:rsidR="00674853" w14:paraId="2F208423" w14:textId="77777777" w:rsidTr="000D51A7">
        <w:trPr>
          <w:trHeight w:val="1736"/>
        </w:trPr>
        <w:tc>
          <w:tcPr>
            <w:tcW w:w="2733" w:type="dxa"/>
            <w:gridSpan w:val="3"/>
            <w:vAlign w:val="center"/>
          </w:tcPr>
          <w:p w14:paraId="3D0B8240" w14:textId="0C52ECF1" w:rsidR="00674853" w:rsidRDefault="00674853" w:rsidP="00E8310F">
            <w:r>
              <w:t>Have performance criteria that supports a quality service?</w:t>
            </w:r>
          </w:p>
        </w:tc>
        <w:tc>
          <w:tcPr>
            <w:tcW w:w="6509" w:type="dxa"/>
            <w:shd w:val="clear" w:color="auto" w:fill="00B050"/>
          </w:tcPr>
          <w:p w14:paraId="4824DF94" w14:textId="77777777" w:rsidR="00C8050F" w:rsidRDefault="00C8050F">
            <w:r>
              <w:t xml:space="preserve">Pathway guidelines </w:t>
            </w:r>
            <w:r w:rsidR="005F25A9">
              <w:t xml:space="preserve">for conducting the service, however it is up to the </w:t>
            </w:r>
            <w:r w:rsidR="00862910">
              <w:t>pharmacist’s</w:t>
            </w:r>
            <w:r w:rsidR="005F25A9">
              <w:t xml:space="preserve"> individual discretion whether to agree to the supply or not.</w:t>
            </w:r>
            <w:r w:rsidR="00862910">
              <w:t xml:space="preserve"> </w:t>
            </w:r>
          </w:p>
          <w:p w14:paraId="6B914A8B" w14:textId="22178FAE" w:rsidR="00C8050F" w:rsidRDefault="00096E20">
            <w:r>
              <w:t>I</w:t>
            </w:r>
            <w:r w:rsidR="00C8050F">
              <w:t>nformation on permissible items, length of treatment to supply, exceptions</w:t>
            </w:r>
            <w:r>
              <w:t>, records required</w:t>
            </w:r>
            <w:r w:rsidR="00DE5728">
              <w:t xml:space="preserve"> and</w:t>
            </w:r>
            <w:r>
              <w:t xml:space="preserve"> labelling requirements</w:t>
            </w:r>
            <w:r w:rsidR="00DE5728">
              <w:t xml:space="preserve"> </w:t>
            </w:r>
            <w:r>
              <w:t>(Annexe A)</w:t>
            </w:r>
          </w:p>
          <w:p w14:paraId="17A14591" w14:textId="7233635C" w:rsidR="00674853" w:rsidRDefault="00862910">
            <w:r>
              <w:t>Contractor must have SOP procedures in place for this service</w:t>
            </w:r>
            <w:r w:rsidR="001950EE">
              <w:t xml:space="preserve"> and review them every year</w:t>
            </w:r>
            <w:r w:rsidR="00697410">
              <w:t>.</w:t>
            </w:r>
            <w:r w:rsidR="00096E20">
              <w:t xml:space="preserve"> (Annexe C has details for inclusion)</w:t>
            </w:r>
          </w:p>
          <w:p w14:paraId="0697ED9B" w14:textId="60772A3F" w:rsidR="00C547A5" w:rsidRDefault="00C547A5">
            <w:r>
              <w:t>Pharmacy must report any referral process or operational issues to the local NHS111 health professionals line. Similarly, any patient safety incidents should be reported in line with the clinical governance approved particulars for pharmacies.</w:t>
            </w:r>
          </w:p>
          <w:p w14:paraId="7D9097E7" w14:textId="75D36842" w:rsidR="00C547A5" w:rsidRDefault="00C51B6B" w:rsidP="00C51B6B">
            <w:pPr>
              <w:shd w:val="clear" w:color="auto" w:fill="FFC000"/>
            </w:pPr>
            <w:r>
              <w:t>Pharmacy must participate in any local audit of integrated urgent care service provision organised by NHS111 of the local urgent care commissioner.</w:t>
            </w:r>
          </w:p>
        </w:tc>
      </w:tr>
      <w:tr w:rsidR="00674853" w14:paraId="2A5BB2CC" w14:textId="77777777" w:rsidTr="0053198F">
        <w:trPr>
          <w:trHeight w:val="567"/>
        </w:trPr>
        <w:tc>
          <w:tcPr>
            <w:tcW w:w="250" w:type="dxa"/>
            <w:tcBorders>
              <w:right w:val="nil"/>
            </w:tcBorders>
            <w:vAlign w:val="center"/>
          </w:tcPr>
          <w:p w14:paraId="0D79F913" w14:textId="77777777" w:rsidR="00674853" w:rsidRDefault="00674853" w:rsidP="0053198F"/>
        </w:tc>
        <w:tc>
          <w:tcPr>
            <w:tcW w:w="8992" w:type="dxa"/>
            <w:gridSpan w:val="3"/>
            <w:tcBorders>
              <w:left w:val="nil"/>
            </w:tcBorders>
            <w:vAlign w:val="center"/>
          </w:tcPr>
          <w:p w14:paraId="1B5516E3" w14:textId="77777777" w:rsidR="00674853" w:rsidRPr="0053198F" w:rsidRDefault="00674853" w:rsidP="004B0D0D">
            <w:pPr>
              <w:jc w:val="center"/>
              <w:rPr>
                <w:b/>
                <w:sz w:val="28"/>
                <w:szCs w:val="28"/>
              </w:rPr>
            </w:pPr>
            <w:r w:rsidRPr="0053198F">
              <w:rPr>
                <w:b/>
                <w:sz w:val="28"/>
                <w:szCs w:val="28"/>
              </w:rPr>
              <w:t>Service Delivery</w:t>
            </w:r>
          </w:p>
        </w:tc>
      </w:tr>
      <w:tr w:rsidR="00674853" w14:paraId="67E7670C" w14:textId="77777777" w:rsidTr="00F36554">
        <w:trPr>
          <w:trHeight w:val="953"/>
        </w:trPr>
        <w:tc>
          <w:tcPr>
            <w:tcW w:w="2733" w:type="dxa"/>
            <w:gridSpan w:val="3"/>
            <w:vAlign w:val="center"/>
          </w:tcPr>
          <w:p w14:paraId="1AE6F5A8" w14:textId="77777777" w:rsidR="00674853" w:rsidRDefault="00674853" w:rsidP="00EA3183">
            <w:r>
              <w:t>Are the performance measures reasonable and achievable?</w:t>
            </w:r>
          </w:p>
        </w:tc>
        <w:tc>
          <w:tcPr>
            <w:tcW w:w="6509" w:type="dxa"/>
            <w:tcBorders>
              <w:bottom w:val="single" w:sz="4" w:space="0" w:color="auto"/>
            </w:tcBorders>
          </w:tcPr>
          <w:p w14:paraId="0739E8CB" w14:textId="77777777" w:rsidR="00674853" w:rsidRDefault="00674853"/>
          <w:p w14:paraId="53A479F4" w14:textId="3E5ECD03" w:rsidR="00674853" w:rsidRDefault="008F437A">
            <w:r>
              <w:t>N/A</w:t>
            </w:r>
          </w:p>
        </w:tc>
      </w:tr>
      <w:tr w:rsidR="00674853" w14:paraId="63C6D57B" w14:textId="77777777" w:rsidTr="00F36554">
        <w:trPr>
          <w:trHeight w:val="944"/>
        </w:trPr>
        <w:tc>
          <w:tcPr>
            <w:tcW w:w="2733" w:type="dxa"/>
            <w:gridSpan w:val="3"/>
            <w:vAlign w:val="center"/>
          </w:tcPr>
          <w:p w14:paraId="3369164B" w14:textId="08F99684" w:rsidR="00674853" w:rsidRDefault="00674853" w:rsidP="00EA3183">
            <w:r>
              <w:t>Is the administration proportional to size or service and remuneration?</w:t>
            </w:r>
          </w:p>
        </w:tc>
        <w:tc>
          <w:tcPr>
            <w:tcW w:w="6509" w:type="dxa"/>
            <w:tcBorders>
              <w:bottom w:val="single" w:sz="4" w:space="0" w:color="auto"/>
            </w:tcBorders>
            <w:shd w:val="clear" w:color="auto" w:fill="FFC000"/>
          </w:tcPr>
          <w:p w14:paraId="0823584D" w14:textId="77777777" w:rsidR="009C5D67" w:rsidRDefault="009C5D67" w:rsidP="005F25A9">
            <w:r>
              <w:t>No</w:t>
            </w:r>
          </w:p>
          <w:p w14:paraId="27F06C71" w14:textId="2D0FA9D6" w:rsidR="00E47C77" w:rsidRDefault="00E47C77" w:rsidP="005F25A9">
            <w:r>
              <w:t>NHS111 request the patient to telephone the pharmacy within 30 minutes to</w:t>
            </w:r>
            <w:r w:rsidR="00C51B6B">
              <w:t xml:space="preserve"> assess the need of the patient prior to going to the pharmacy for possible supply or advice.</w:t>
            </w:r>
          </w:p>
          <w:p w14:paraId="61891A67" w14:textId="1DD382A0" w:rsidR="001950EE" w:rsidRDefault="009C5D67" w:rsidP="005F25A9">
            <w:r>
              <w:t xml:space="preserve">Lack of digital IT platform is a hindrance and makes the service </w:t>
            </w:r>
            <w:r w:rsidR="00F36554">
              <w:t>cumbersome to use</w:t>
            </w:r>
            <w:r w:rsidR="00AE01F1">
              <w:t xml:space="preserve"> </w:t>
            </w:r>
            <w:r w:rsidR="00AE01F1" w:rsidRPr="00F36554">
              <w:rPr>
                <w:szCs w:val="28"/>
              </w:rPr>
              <w:t>(IT possible solution TBC)</w:t>
            </w:r>
            <w:r w:rsidR="00F36554">
              <w:rPr>
                <w:szCs w:val="28"/>
              </w:rPr>
              <w:t>.</w:t>
            </w:r>
          </w:p>
        </w:tc>
      </w:tr>
      <w:tr w:rsidR="00674853" w14:paraId="7D161ADB" w14:textId="77777777" w:rsidTr="002659DC">
        <w:trPr>
          <w:trHeight w:val="719"/>
        </w:trPr>
        <w:tc>
          <w:tcPr>
            <w:tcW w:w="2733" w:type="dxa"/>
            <w:gridSpan w:val="3"/>
            <w:vAlign w:val="center"/>
          </w:tcPr>
          <w:p w14:paraId="5DF8B762" w14:textId="4EFF3526" w:rsidR="00674853" w:rsidRDefault="00674853" w:rsidP="00EA3183">
            <w:r>
              <w:lastRenderedPageBreak/>
              <w:t>Are any reporting systems suitable to all contractors?</w:t>
            </w:r>
          </w:p>
        </w:tc>
        <w:tc>
          <w:tcPr>
            <w:tcW w:w="6509" w:type="dxa"/>
            <w:shd w:val="clear" w:color="auto" w:fill="FFC000"/>
          </w:tcPr>
          <w:p w14:paraId="29C3DFB4" w14:textId="77777777" w:rsidR="00C51B6B" w:rsidRDefault="009C5D67" w:rsidP="005F25A9">
            <w:r>
              <w:t>Yes</w:t>
            </w:r>
          </w:p>
          <w:p w14:paraId="328244A3" w14:textId="57E9A616" w:rsidR="00674853" w:rsidRPr="00AE01F1" w:rsidRDefault="00F36554" w:rsidP="00AE01F1">
            <w:pPr>
              <w:shd w:val="clear" w:color="auto" w:fill="FFC000"/>
            </w:pPr>
            <w:r>
              <w:t>Although e</w:t>
            </w:r>
            <w:r w:rsidR="00096E20">
              <w:t>ach</w:t>
            </w:r>
            <w:r w:rsidR="001950EE">
              <w:t xml:space="preserve"> pharmacy </w:t>
            </w:r>
            <w:r w:rsidR="00AE01F1">
              <w:t>must have</w:t>
            </w:r>
            <w:r w:rsidR="001950EE">
              <w:t xml:space="preserve"> a shared</w:t>
            </w:r>
            <w:r w:rsidR="00AE01F1">
              <w:t xml:space="preserve"> NHSmail account </w:t>
            </w:r>
            <w:r w:rsidR="00AE01F1" w:rsidRPr="00AE01F1">
              <w:rPr>
                <w:szCs w:val="28"/>
                <w:shd w:val="clear" w:color="auto" w:fill="FFC000"/>
              </w:rPr>
              <w:t>(IT possible solution TBC)</w:t>
            </w:r>
            <w:r w:rsidR="00AE01F1">
              <w:rPr>
                <w:szCs w:val="28"/>
                <w:shd w:val="clear" w:color="auto" w:fill="FFC000"/>
              </w:rPr>
              <w:t>.</w:t>
            </w:r>
          </w:p>
          <w:p w14:paraId="345B6C08" w14:textId="1514C0C4" w:rsidR="00AE01F1" w:rsidRPr="00AE01F1" w:rsidRDefault="00096E20" w:rsidP="00AE01F1">
            <w:pPr>
              <w:shd w:val="clear" w:color="auto" w:fill="FFC000"/>
            </w:pPr>
            <w:r>
              <w:t>Pharmacies are requested to regularly check the NHSmail account during OO</w:t>
            </w:r>
            <w:r w:rsidR="00AE01F1">
              <w:t xml:space="preserve">Hs periods during </w:t>
            </w:r>
            <w:r w:rsidR="00F36554">
              <w:t xml:space="preserve">their </w:t>
            </w:r>
            <w:r w:rsidR="00AE01F1">
              <w:t xml:space="preserve">opening hours </w:t>
            </w:r>
            <w:r w:rsidR="00AE01F1" w:rsidRPr="00AE01F1">
              <w:rPr>
                <w:szCs w:val="28"/>
                <w:shd w:val="clear" w:color="auto" w:fill="FFC000"/>
              </w:rPr>
              <w:t>(IT possible solution TBC)</w:t>
            </w:r>
            <w:r w:rsidR="00AE01F1">
              <w:rPr>
                <w:shd w:val="clear" w:color="auto" w:fill="FFC000"/>
              </w:rPr>
              <w:t>.</w:t>
            </w:r>
          </w:p>
          <w:p w14:paraId="29A0136E" w14:textId="3410169E" w:rsidR="00DE5728" w:rsidRDefault="00DE5728" w:rsidP="005F25A9">
            <w:r>
              <w:t>Pharmacies are to report non-supply using agreed ‘No supply codes’ (Annexe E)</w:t>
            </w:r>
          </w:p>
        </w:tc>
      </w:tr>
      <w:tr w:rsidR="00674853" w14:paraId="0A0C87A0" w14:textId="77777777" w:rsidTr="000D51A7">
        <w:trPr>
          <w:trHeight w:val="1475"/>
        </w:trPr>
        <w:tc>
          <w:tcPr>
            <w:tcW w:w="2733" w:type="dxa"/>
            <w:gridSpan w:val="3"/>
            <w:vAlign w:val="center"/>
          </w:tcPr>
          <w:p w14:paraId="541130BA" w14:textId="5D3E143E" w:rsidR="00674853" w:rsidRDefault="00674853" w:rsidP="00EA3183">
            <w:r>
              <w:t>Is the training required for the service reasonable? Consider accessibility to CPPE for non-pharmacist/technician staff.</w:t>
            </w:r>
          </w:p>
        </w:tc>
        <w:tc>
          <w:tcPr>
            <w:tcW w:w="6509" w:type="dxa"/>
            <w:shd w:val="clear" w:color="auto" w:fill="00B050"/>
          </w:tcPr>
          <w:p w14:paraId="18799530" w14:textId="77777777" w:rsidR="000D51A7" w:rsidRDefault="000D51A7">
            <w:r>
              <w:t>No off-site training required.</w:t>
            </w:r>
          </w:p>
          <w:p w14:paraId="01825633" w14:textId="0ADFAE7B" w:rsidR="00674853" w:rsidRDefault="00B511A9">
            <w:r>
              <w:t>Training is minimal and can be self-taught</w:t>
            </w:r>
            <w:r w:rsidR="00096E20">
              <w:t>.</w:t>
            </w:r>
          </w:p>
          <w:p w14:paraId="30604545" w14:textId="5F35476C" w:rsidR="001950EE" w:rsidRDefault="001950EE">
            <w:r>
              <w:t>RPS guidance on emergency supply and CPPE ‘Urgent care: a focus for pharmacy’ are recommended</w:t>
            </w:r>
          </w:p>
          <w:p w14:paraId="32874270" w14:textId="05FB6012" w:rsidR="00697410" w:rsidRDefault="00697410">
            <w:r>
              <w:t>Pharmacist must demonstrate CPD relevant to the service.</w:t>
            </w:r>
          </w:p>
        </w:tc>
      </w:tr>
      <w:tr w:rsidR="00674853" w14:paraId="21CF59AB" w14:textId="77777777" w:rsidTr="000D51A7">
        <w:trPr>
          <w:trHeight w:val="1232"/>
        </w:trPr>
        <w:tc>
          <w:tcPr>
            <w:tcW w:w="2733" w:type="dxa"/>
            <w:gridSpan w:val="3"/>
            <w:vAlign w:val="center"/>
          </w:tcPr>
          <w:p w14:paraId="1DBBBCCD" w14:textId="0B5D022C" w:rsidR="00674853" w:rsidRDefault="00674853" w:rsidP="00EA3183">
            <w:r>
              <w:t>Does record keeping or sharing of information requirements meet current IG regulations.</w:t>
            </w:r>
          </w:p>
        </w:tc>
        <w:tc>
          <w:tcPr>
            <w:tcW w:w="6509" w:type="dxa"/>
            <w:shd w:val="clear" w:color="auto" w:fill="00B050"/>
          </w:tcPr>
          <w:p w14:paraId="166C6D13" w14:textId="77777777" w:rsidR="00096E20" w:rsidRDefault="00B511A9">
            <w:r>
              <w:t>Yes</w:t>
            </w:r>
          </w:p>
          <w:p w14:paraId="4C7C0592" w14:textId="5DD5677B" w:rsidR="00674853" w:rsidRDefault="005F25A9">
            <w:r>
              <w:t xml:space="preserve">Record made in POM </w:t>
            </w:r>
            <w:r w:rsidR="00862910">
              <w:t>Regi</w:t>
            </w:r>
            <w:r w:rsidR="00096E20">
              <w:t>ster (legal record), PMR record</w:t>
            </w:r>
            <w:r w:rsidR="00DE5728">
              <w:t xml:space="preserve">, </w:t>
            </w:r>
            <w:r w:rsidR="009D3AE6">
              <w:t xml:space="preserve">Blank FP10DT EPS dispensing token, </w:t>
            </w:r>
            <w:r w:rsidR="00DE5728">
              <w:t>GP notification form (Anne</w:t>
            </w:r>
            <w:r w:rsidR="00096E20">
              <w:t>x</w:t>
            </w:r>
            <w:r w:rsidR="00DE5728">
              <w:t>e</w:t>
            </w:r>
            <w:r w:rsidR="00096E20">
              <w:t xml:space="preserve"> B)</w:t>
            </w:r>
            <w:r w:rsidR="00DE5728">
              <w:t>, Patient questionnaire (Annexe D).</w:t>
            </w:r>
          </w:p>
          <w:p w14:paraId="5D5D89B3" w14:textId="5DEB2C91" w:rsidR="003B6024" w:rsidRDefault="003B6024" w:rsidP="00F36554">
            <w:pPr>
              <w:shd w:val="clear" w:color="auto" w:fill="FFC000"/>
            </w:pPr>
            <w:r>
              <w:t>GP form</w:t>
            </w:r>
            <w:r w:rsidR="00F36554">
              <w:t xml:space="preserve"> is required to</w:t>
            </w:r>
            <w:r w:rsidR="008726F4">
              <w:t xml:space="preserve"> be posted or sent by </w:t>
            </w:r>
            <w:r w:rsidR="00F36554">
              <w:t>NHSmail</w:t>
            </w:r>
            <w:r>
              <w:t>.</w:t>
            </w:r>
            <w:r w:rsidR="009274E4">
              <w:t xml:space="preserve"> </w:t>
            </w:r>
            <w:r w:rsidR="00F36554">
              <w:t xml:space="preserve"> </w:t>
            </w:r>
            <w:r w:rsidR="009274E4">
              <w:t xml:space="preserve">PDF or word copy of form </w:t>
            </w:r>
            <w:r w:rsidR="00F36554">
              <w:t xml:space="preserve">is </w:t>
            </w:r>
            <w:r w:rsidR="009274E4">
              <w:t xml:space="preserve">available </w:t>
            </w:r>
            <w:r w:rsidR="00F36554">
              <w:t xml:space="preserve">on PSNC website </w:t>
            </w:r>
            <w:r w:rsidR="00F36554" w:rsidRPr="00F36554">
              <w:rPr>
                <w:szCs w:val="28"/>
              </w:rPr>
              <w:t>(IT possible solution TBC)</w:t>
            </w:r>
            <w:r w:rsidR="00F36554">
              <w:rPr>
                <w:szCs w:val="28"/>
              </w:rPr>
              <w:t>.</w:t>
            </w:r>
          </w:p>
          <w:p w14:paraId="4646B660" w14:textId="3A19F49B" w:rsidR="00862910" w:rsidRDefault="007C58DC" w:rsidP="002659DC">
            <w:pPr>
              <w:shd w:val="clear" w:color="auto" w:fill="FFC000"/>
            </w:pPr>
            <w:r>
              <w:t>Patient questionnair</w:t>
            </w:r>
            <w:r w:rsidR="009D3AE6">
              <w:t>e can be sent directly using IT platform or later from paper onto the IT functional system.</w:t>
            </w:r>
            <w:r w:rsidR="009274E4">
              <w:t xml:space="preserve"> PDF copy available on PSNC website.</w:t>
            </w:r>
          </w:p>
        </w:tc>
      </w:tr>
      <w:tr w:rsidR="00674853" w14:paraId="28C19656" w14:textId="77777777" w:rsidTr="00EA3183">
        <w:trPr>
          <w:trHeight w:val="567"/>
        </w:trPr>
        <w:tc>
          <w:tcPr>
            <w:tcW w:w="250" w:type="dxa"/>
            <w:tcBorders>
              <w:right w:val="nil"/>
            </w:tcBorders>
            <w:vAlign w:val="center"/>
          </w:tcPr>
          <w:p w14:paraId="2AAFB1F7" w14:textId="5F801433" w:rsidR="00674853" w:rsidRPr="00EA3183" w:rsidRDefault="00674853" w:rsidP="00EA3183">
            <w:pPr>
              <w:jc w:val="center"/>
              <w:rPr>
                <w:sz w:val="28"/>
                <w:szCs w:val="28"/>
              </w:rPr>
            </w:pPr>
          </w:p>
        </w:tc>
        <w:tc>
          <w:tcPr>
            <w:tcW w:w="8992" w:type="dxa"/>
            <w:gridSpan w:val="3"/>
            <w:tcBorders>
              <w:left w:val="nil"/>
            </w:tcBorders>
            <w:vAlign w:val="center"/>
          </w:tcPr>
          <w:p w14:paraId="314B1717" w14:textId="77777777" w:rsidR="00674853" w:rsidRPr="00EA3183" w:rsidRDefault="00674853" w:rsidP="00EA3183">
            <w:pPr>
              <w:jc w:val="center"/>
              <w:rPr>
                <w:b/>
                <w:sz w:val="28"/>
                <w:szCs w:val="28"/>
              </w:rPr>
            </w:pPr>
            <w:r w:rsidRPr="00EA3183">
              <w:rPr>
                <w:b/>
                <w:sz w:val="28"/>
                <w:szCs w:val="28"/>
              </w:rPr>
              <w:t>Miscellaneous Information</w:t>
            </w:r>
          </w:p>
        </w:tc>
      </w:tr>
      <w:tr w:rsidR="00674853" w14:paraId="06521961" w14:textId="77777777" w:rsidTr="00F36554">
        <w:trPr>
          <w:trHeight w:val="3095"/>
        </w:trPr>
        <w:tc>
          <w:tcPr>
            <w:tcW w:w="2733" w:type="dxa"/>
            <w:gridSpan w:val="3"/>
            <w:vAlign w:val="center"/>
          </w:tcPr>
          <w:p w14:paraId="25B137F0" w14:textId="77777777" w:rsidR="00674853" w:rsidRDefault="00674853" w:rsidP="00EA3183">
            <w:r>
              <w:t>Any other information specific to this service.</w:t>
            </w:r>
          </w:p>
        </w:tc>
        <w:tc>
          <w:tcPr>
            <w:tcW w:w="6509" w:type="dxa"/>
            <w:tcBorders>
              <w:bottom w:val="single" w:sz="4" w:space="0" w:color="auto"/>
            </w:tcBorders>
            <w:shd w:val="clear" w:color="auto" w:fill="00B050"/>
          </w:tcPr>
          <w:p w14:paraId="3DF4820E" w14:textId="0AD4AE69" w:rsidR="00B511A9" w:rsidRDefault="00B511A9">
            <w:r>
              <w:t>Provision to supply patient</w:t>
            </w:r>
            <w:r w:rsidR="005F25A9">
              <w:t>’</w:t>
            </w:r>
            <w:r>
              <w:t xml:space="preserve">s representative </w:t>
            </w:r>
            <w:r w:rsidR="00DE5728">
              <w:t>when appropriate.</w:t>
            </w:r>
          </w:p>
          <w:p w14:paraId="0FA46F59" w14:textId="0E0159AD" w:rsidR="00B511A9" w:rsidRDefault="003B6024">
            <w:r>
              <w:t xml:space="preserve">Patient declaration will be required on the reverse of the FP10DT EPS dispensing token to claim any exemptions from NHS prescription charges, otherwise a charge must be taken per item. </w:t>
            </w:r>
            <w:r w:rsidR="00862910">
              <w:t xml:space="preserve">Evidence of exemption </w:t>
            </w:r>
            <w:r>
              <w:t>should be supplied.</w:t>
            </w:r>
          </w:p>
          <w:p w14:paraId="2CB811F5" w14:textId="4B7C3ED2" w:rsidR="00674853" w:rsidRDefault="00862910">
            <w:r>
              <w:t xml:space="preserve">Service is available </w:t>
            </w:r>
            <w:r w:rsidR="0035747B">
              <w:t xml:space="preserve">throughout the </w:t>
            </w:r>
            <w:r w:rsidR="001950EE">
              <w:t xml:space="preserve">pharmacy’s core &amp; supplementary hours each </w:t>
            </w:r>
            <w:r w:rsidR="0035747B">
              <w:t>week.</w:t>
            </w:r>
          </w:p>
          <w:p w14:paraId="44FC1CE0" w14:textId="595A00DB" w:rsidR="0035747B" w:rsidRDefault="0035747B" w:rsidP="00F36554">
            <w:pPr>
              <w:shd w:val="clear" w:color="auto" w:fill="FFC000"/>
            </w:pPr>
            <w:r>
              <w:t>Pharmacies are requested to regularly check the NHSmail account during OOHs periods during opening hours.</w:t>
            </w:r>
            <w:r w:rsidR="00F36554">
              <w:t xml:space="preserve"> </w:t>
            </w:r>
            <w:r w:rsidR="00F36554" w:rsidRPr="00F36554">
              <w:rPr>
                <w:szCs w:val="28"/>
              </w:rPr>
              <w:t>(IT possible solution TBC)</w:t>
            </w:r>
          </w:p>
          <w:p w14:paraId="569CA287" w14:textId="77777777" w:rsidR="00674853" w:rsidRDefault="001950EE" w:rsidP="001950EE">
            <w:r>
              <w:t>Must contact NHS111 provider via the emergency NHS111 DoS 0300 number as soon as possible i</w:t>
            </w:r>
            <w:r w:rsidR="00966A29">
              <w:t>f the service is not available and also notify</w:t>
            </w:r>
            <w:r>
              <w:t xml:space="preserve"> NHS England South (Wessex) team.</w:t>
            </w:r>
          </w:p>
          <w:p w14:paraId="0387A859" w14:textId="6574BB18" w:rsidR="00C547A5" w:rsidRDefault="00C547A5" w:rsidP="003B6024">
            <w:pPr>
              <w:shd w:val="clear" w:color="auto" w:fill="FFC000"/>
            </w:pPr>
            <w:r>
              <w:t>The service must not be promoted actively to the public.</w:t>
            </w:r>
          </w:p>
        </w:tc>
      </w:tr>
      <w:tr w:rsidR="00674853" w14:paraId="755419F6" w14:textId="77777777" w:rsidTr="00F36554">
        <w:trPr>
          <w:trHeight w:val="575"/>
        </w:trPr>
        <w:tc>
          <w:tcPr>
            <w:tcW w:w="2733" w:type="dxa"/>
            <w:gridSpan w:val="3"/>
            <w:vAlign w:val="center"/>
          </w:tcPr>
          <w:p w14:paraId="39A3225C" w14:textId="6FE262B2" w:rsidR="00674853" w:rsidRDefault="00674853" w:rsidP="00E8310F">
            <w:r>
              <w:t>Suggested RAG Rating</w:t>
            </w:r>
          </w:p>
        </w:tc>
        <w:tc>
          <w:tcPr>
            <w:tcW w:w="6509" w:type="dxa"/>
            <w:shd w:val="clear" w:color="auto" w:fill="FFC000"/>
          </w:tcPr>
          <w:p w14:paraId="4269F11F" w14:textId="230B0233" w:rsidR="00674853" w:rsidRDefault="00674853"/>
        </w:tc>
      </w:tr>
    </w:tbl>
    <w:p w14:paraId="3674DB31" w14:textId="77777777" w:rsidR="00835D38" w:rsidRDefault="00835D38" w:rsidP="007133B7">
      <w:pPr>
        <w:spacing w:after="0" w:line="240" w:lineRule="auto"/>
      </w:pPr>
    </w:p>
    <w:p w14:paraId="02505239" w14:textId="6598523C" w:rsidR="005C2355" w:rsidRDefault="005C2355" w:rsidP="005C2355">
      <w:pPr>
        <w:pStyle w:val="p1"/>
        <w:rPr>
          <w:rStyle w:val="s1"/>
          <w:sz w:val="20"/>
        </w:rPr>
      </w:pPr>
      <w:r w:rsidRPr="005C2355">
        <w:rPr>
          <w:rStyle w:val="s1"/>
          <w:sz w:val="20"/>
        </w:rPr>
        <w:t>*</w:t>
      </w:r>
      <w:r>
        <w:rPr>
          <w:rStyle w:val="s1"/>
          <w:sz w:val="20"/>
        </w:rPr>
        <w:t xml:space="preserve"> </w:t>
      </w:r>
      <w:r w:rsidR="0091041C">
        <w:rPr>
          <w:rStyle w:val="s1"/>
          <w:b/>
          <w:bCs/>
        </w:rPr>
        <w:t>Rollout</w:t>
      </w:r>
    </w:p>
    <w:p w14:paraId="6DD3D9CA" w14:textId="5E6F06D5" w:rsidR="007133B7" w:rsidRPr="007133B7" w:rsidRDefault="007133B7" w:rsidP="005C2355">
      <w:pPr>
        <w:pStyle w:val="p1"/>
        <w:rPr>
          <w:rStyle w:val="s1"/>
          <w:sz w:val="20"/>
        </w:rPr>
      </w:pPr>
      <w:r w:rsidRPr="007133B7">
        <w:rPr>
          <w:rStyle w:val="s1"/>
          <w:sz w:val="20"/>
        </w:rPr>
        <w:t xml:space="preserve">The NUMSAS pilot is being commissioned as a fully integrated service and it therefore requires a number of key elements to be in place before it can go live. </w:t>
      </w:r>
    </w:p>
    <w:p w14:paraId="63487B04" w14:textId="735716C3" w:rsidR="007133B7" w:rsidRPr="007133B7" w:rsidRDefault="007133B7" w:rsidP="007133B7">
      <w:pPr>
        <w:pStyle w:val="p1"/>
        <w:rPr>
          <w:rStyle w:val="s1"/>
          <w:sz w:val="20"/>
        </w:rPr>
      </w:pPr>
      <w:r w:rsidRPr="007133B7">
        <w:rPr>
          <w:rStyle w:val="s1"/>
          <w:sz w:val="20"/>
        </w:rPr>
        <w:t>To support the efficient roll-out of the service, particularly putting in place mechanisms for referral from NHS 111 to community pharmacy, a phased introduction will take place from December 2016 to March 2017, with the pilot running until March 2018:</w:t>
      </w:r>
    </w:p>
    <w:p w14:paraId="6F1124C2" w14:textId="77777777" w:rsidR="007133B7" w:rsidRPr="007133B7" w:rsidRDefault="007133B7" w:rsidP="007133B7">
      <w:pPr>
        <w:pStyle w:val="p1"/>
        <w:rPr>
          <w:sz w:val="20"/>
        </w:rPr>
      </w:pPr>
    </w:p>
    <w:p w14:paraId="7FBC124B" w14:textId="77777777" w:rsidR="007133B7" w:rsidRPr="007133B7" w:rsidRDefault="007133B7" w:rsidP="007133B7">
      <w:pPr>
        <w:pStyle w:val="p1"/>
        <w:ind w:left="2340" w:hanging="2340"/>
        <w:rPr>
          <w:rStyle w:val="s1"/>
          <w:sz w:val="20"/>
        </w:rPr>
      </w:pPr>
      <w:r w:rsidRPr="007133B7">
        <w:rPr>
          <w:rStyle w:val="s1"/>
          <w:b/>
          <w:bCs/>
          <w:sz w:val="20"/>
        </w:rPr>
        <w:lastRenderedPageBreak/>
        <w:t>Phase 1</w:t>
      </w:r>
      <w:r w:rsidRPr="007133B7">
        <w:rPr>
          <w:rStyle w:val="s1"/>
          <w:sz w:val="20"/>
        </w:rPr>
        <w:t xml:space="preserve"> – December 2016</w:t>
      </w:r>
    </w:p>
    <w:p w14:paraId="6EA433F9" w14:textId="2021BF2E" w:rsidR="007133B7" w:rsidRPr="007133B7" w:rsidRDefault="007133B7" w:rsidP="007133B7">
      <w:pPr>
        <w:pStyle w:val="p1"/>
        <w:ind w:left="180" w:hanging="180"/>
        <w:rPr>
          <w:sz w:val="20"/>
        </w:rPr>
      </w:pPr>
      <w:r w:rsidRPr="007133B7">
        <w:rPr>
          <w:rStyle w:val="s1"/>
          <w:sz w:val="20"/>
        </w:rPr>
        <w:t>– Brighton and Hove CCG; Guildford and Waverley CCG; Blackpool CCG and Fylde and Wyre CCG; Nottingham City CCG; Cambridgeshire and Peterborough CCG</w:t>
      </w:r>
    </w:p>
    <w:p w14:paraId="5CD2F653" w14:textId="77777777" w:rsidR="007133B7" w:rsidRPr="007133B7" w:rsidRDefault="007133B7" w:rsidP="007133B7">
      <w:pPr>
        <w:pStyle w:val="p1"/>
        <w:rPr>
          <w:rStyle w:val="s1"/>
          <w:b/>
          <w:bCs/>
          <w:sz w:val="10"/>
        </w:rPr>
      </w:pPr>
    </w:p>
    <w:p w14:paraId="49AFFFAF" w14:textId="77777777" w:rsidR="007133B7" w:rsidRPr="007133B7" w:rsidRDefault="007133B7" w:rsidP="007133B7">
      <w:pPr>
        <w:pStyle w:val="p1"/>
        <w:rPr>
          <w:rStyle w:val="s1"/>
          <w:sz w:val="20"/>
        </w:rPr>
      </w:pPr>
      <w:r w:rsidRPr="007133B7">
        <w:rPr>
          <w:rStyle w:val="s1"/>
          <w:b/>
          <w:bCs/>
          <w:sz w:val="20"/>
        </w:rPr>
        <w:t>Phase 2</w:t>
      </w:r>
      <w:r w:rsidRPr="007133B7">
        <w:rPr>
          <w:rStyle w:val="s1"/>
          <w:sz w:val="20"/>
        </w:rPr>
        <w:t xml:space="preserve"> – January 2017 </w:t>
      </w:r>
    </w:p>
    <w:p w14:paraId="2C6ACA66" w14:textId="7FF0AA59" w:rsidR="007133B7" w:rsidRPr="007133B7" w:rsidRDefault="007133B7" w:rsidP="007133B7">
      <w:pPr>
        <w:pStyle w:val="p1"/>
        <w:rPr>
          <w:sz w:val="20"/>
        </w:rPr>
      </w:pPr>
      <w:r w:rsidRPr="007133B7">
        <w:rPr>
          <w:rStyle w:val="s1"/>
          <w:sz w:val="20"/>
        </w:rPr>
        <w:t>– East of England; North East; North West</w:t>
      </w:r>
    </w:p>
    <w:p w14:paraId="2440AE96" w14:textId="77777777" w:rsidR="007133B7" w:rsidRPr="007133B7" w:rsidRDefault="007133B7" w:rsidP="007133B7">
      <w:pPr>
        <w:pStyle w:val="p1"/>
        <w:rPr>
          <w:rStyle w:val="s1"/>
          <w:b/>
          <w:bCs/>
          <w:sz w:val="10"/>
        </w:rPr>
      </w:pPr>
    </w:p>
    <w:p w14:paraId="4EC40700" w14:textId="77777777" w:rsidR="007133B7" w:rsidRPr="007133B7" w:rsidRDefault="007133B7" w:rsidP="007133B7">
      <w:pPr>
        <w:pStyle w:val="p1"/>
        <w:rPr>
          <w:rStyle w:val="s1"/>
          <w:sz w:val="20"/>
        </w:rPr>
      </w:pPr>
      <w:r w:rsidRPr="007133B7">
        <w:rPr>
          <w:rStyle w:val="s1"/>
          <w:b/>
          <w:bCs/>
          <w:sz w:val="20"/>
        </w:rPr>
        <w:t>Phase 3</w:t>
      </w:r>
      <w:r w:rsidRPr="007133B7">
        <w:rPr>
          <w:rStyle w:val="s1"/>
          <w:sz w:val="20"/>
        </w:rPr>
        <w:t xml:space="preserve"> – February 2017 </w:t>
      </w:r>
    </w:p>
    <w:p w14:paraId="17E3771C" w14:textId="514D6FC7" w:rsidR="007133B7" w:rsidRPr="007133B7" w:rsidRDefault="007133B7" w:rsidP="007133B7">
      <w:pPr>
        <w:pStyle w:val="p1"/>
        <w:rPr>
          <w:sz w:val="20"/>
        </w:rPr>
      </w:pPr>
      <w:r w:rsidRPr="007133B7">
        <w:rPr>
          <w:rStyle w:val="s1"/>
          <w:sz w:val="20"/>
        </w:rPr>
        <w:t>– South East Coast; West Midlands; East Midlands; South West</w:t>
      </w:r>
    </w:p>
    <w:p w14:paraId="60768190" w14:textId="77777777" w:rsidR="007133B7" w:rsidRPr="007133B7" w:rsidRDefault="007133B7" w:rsidP="007133B7">
      <w:pPr>
        <w:pStyle w:val="p1"/>
        <w:rPr>
          <w:rStyle w:val="s1"/>
          <w:b/>
          <w:bCs/>
          <w:sz w:val="10"/>
        </w:rPr>
      </w:pPr>
    </w:p>
    <w:p w14:paraId="67DC07A9" w14:textId="77777777" w:rsidR="007133B7" w:rsidRPr="007133B7" w:rsidRDefault="007133B7" w:rsidP="007133B7">
      <w:pPr>
        <w:pStyle w:val="p1"/>
        <w:rPr>
          <w:rStyle w:val="s1"/>
          <w:sz w:val="20"/>
        </w:rPr>
      </w:pPr>
      <w:r w:rsidRPr="007133B7">
        <w:rPr>
          <w:rStyle w:val="s1"/>
          <w:b/>
          <w:bCs/>
          <w:sz w:val="20"/>
        </w:rPr>
        <w:t>Phase 4</w:t>
      </w:r>
      <w:r w:rsidRPr="007133B7">
        <w:rPr>
          <w:rStyle w:val="s1"/>
          <w:sz w:val="20"/>
        </w:rPr>
        <w:t xml:space="preserve"> – March 2017 </w:t>
      </w:r>
    </w:p>
    <w:p w14:paraId="618F5208" w14:textId="78601AD7" w:rsidR="007133B7" w:rsidRDefault="007133B7" w:rsidP="007133B7">
      <w:pPr>
        <w:pStyle w:val="p1"/>
        <w:rPr>
          <w:rStyle w:val="s1"/>
          <w:sz w:val="20"/>
        </w:rPr>
      </w:pPr>
      <w:r w:rsidRPr="007133B7">
        <w:rPr>
          <w:rStyle w:val="s1"/>
          <w:sz w:val="20"/>
        </w:rPr>
        <w:t>– London; Yorkshire and Humber; South Central; </w:t>
      </w:r>
      <w:r w:rsidRPr="00F36554">
        <w:rPr>
          <w:rStyle w:val="s1"/>
          <w:strike/>
          <w:sz w:val="20"/>
        </w:rPr>
        <w:t>Isle of Wight</w:t>
      </w:r>
      <w:r w:rsidR="00F36554">
        <w:rPr>
          <w:rStyle w:val="s1"/>
          <w:sz w:val="20"/>
        </w:rPr>
        <w:t xml:space="preserve"> Wessex</w:t>
      </w:r>
    </w:p>
    <w:p w14:paraId="6268DD3B" w14:textId="77777777" w:rsidR="005C2355" w:rsidRDefault="005C2355" w:rsidP="007133B7">
      <w:pPr>
        <w:pStyle w:val="p1"/>
        <w:rPr>
          <w:rStyle w:val="s1"/>
          <w:sz w:val="20"/>
        </w:rPr>
      </w:pPr>
    </w:p>
    <w:p w14:paraId="1AAA3327" w14:textId="77777777" w:rsidR="0091041C" w:rsidRPr="0091041C" w:rsidRDefault="005C2355" w:rsidP="005C2355">
      <w:pPr>
        <w:pStyle w:val="p1"/>
        <w:rPr>
          <w:rStyle w:val="s1"/>
          <w:sz w:val="21"/>
          <w:szCs w:val="20"/>
        </w:rPr>
      </w:pPr>
      <w:r w:rsidRPr="0091041C">
        <w:rPr>
          <w:rStyle w:val="s1"/>
          <w:sz w:val="21"/>
          <w:szCs w:val="20"/>
        </w:rPr>
        <w:t xml:space="preserve">** </w:t>
      </w:r>
      <w:r w:rsidRPr="0091041C">
        <w:rPr>
          <w:rStyle w:val="s1"/>
          <w:b/>
          <w:bCs/>
          <w:sz w:val="21"/>
          <w:szCs w:val="20"/>
        </w:rPr>
        <w:t>Funding</w:t>
      </w:r>
      <w:r w:rsidR="0091041C" w:rsidRPr="0091041C">
        <w:rPr>
          <w:rStyle w:val="s1"/>
          <w:sz w:val="21"/>
          <w:szCs w:val="20"/>
        </w:rPr>
        <w:t xml:space="preserve"> </w:t>
      </w:r>
    </w:p>
    <w:p w14:paraId="51003A9D" w14:textId="0E79186B" w:rsidR="005C2355" w:rsidRPr="0091041C" w:rsidRDefault="005C2355" w:rsidP="005C2355">
      <w:pPr>
        <w:pStyle w:val="p1"/>
        <w:rPr>
          <w:sz w:val="20"/>
          <w:szCs w:val="20"/>
        </w:rPr>
      </w:pPr>
      <w:r w:rsidRPr="0091041C">
        <w:rPr>
          <w:rStyle w:val="s1"/>
          <w:sz w:val="20"/>
          <w:szCs w:val="20"/>
        </w:rPr>
        <w:t>PSNC has undertaken an initial assessment of the costs of providing the service and we will undertake a more detailed analysis now the final service specification has been published. At PSNC’s January meeting, the Committee considered the costs of providing the service and they expressed concern that contractors would find that the likely costs of provision of the service would exceed the fees that NHS England will pay for its provision.</w:t>
      </w:r>
    </w:p>
    <w:p w14:paraId="10D58203" w14:textId="77777777" w:rsidR="005C2355" w:rsidRPr="0091041C" w:rsidRDefault="005C2355" w:rsidP="005C2355">
      <w:pPr>
        <w:pStyle w:val="p1"/>
        <w:rPr>
          <w:sz w:val="20"/>
          <w:szCs w:val="20"/>
        </w:rPr>
      </w:pPr>
      <w:r w:rsidRPr="0091041C">
        <w:rPr>
          <w:rStyle w:val="s1"/>
          <w:sz w:val="20"/>
          <w:szCs w:val="20"/>
        </w:rPr>
        <w:t>As with any new service, PSNC recommends that contractors consider the likely costs they will incur in setting up and providing the service and compare this with the likely income that will be available from the service as part of a careful assessment of whether it is sensible for them to seek to provide the service.</w:t>
      </w:r>
    </w:p>
    <w:p w14:paraId="69E972EC" w14:textId="77777777" w:rsidR="005C2355" w:rsidRPr="0091041C" w:rsidRDefault="005C2355" w:rsidP="005C2355">
      <w:pPr>
        <w:pStyle w:val="p1"/>
        <w:rPr>
          <w:sz w:val="20"/>
          <w:szCs w:val="20"/>
        </w:rPr>
      </w:pPr>
      <w:r w:rsidRPr="0091041C">
        <w:rPr>
          <w:rStyle w:val="s1"/>
          <w:sz w:val="20"/>
          <w:szCs w:val="20"/>
        </w:rPr>
        <w:t>The volume of referrals from NHS 111 to contractors is likely to be relatively low, based on information provided by NHS England; the maximum number of all such potential referrals is in the region of 200,000 per annum, and based on the experience of similar locally commissioned services, it is unlikely that it will be possible to transfer all of these patient requests to community pharmacy, at least to begin with. Clearly the likely volume of transactions per pharmacy will also need to be a factor that is considered when contractors make a decision on whether they wish to seek to provide the service.</w:t>
      </w:r>
    </w:p>
    <w:p w14:paraId="6BFC0E93" w14:textId="3FC81E0E" w:rsidR="005C2355" w:rsidRPr="007133B7" w:rsidRDefault="005C2355" w:rsidP="007133B7">
      <w:pPr>
        <w:pStyle w:val="p1"/>
        <w:rPr>
          <w:sz w:val="20"/>
        </w:rPr>
      </w:pPr>
    </w:p>
    <w:sectPr w:rsidR="005C2355" w:rsidRPr="007133B7" w:rsidSect="00E8310F">
      <w:headerReference w:type="default" r:id="rId11"/>
      <w:pgSz w:w="11906" w:h="16838"/>
      <w:pgMar w:top="19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50A78" w14:textId="77777777" w:rsidR="00EF1331" w:rsidRDefault="00EF1331" w:rsidP="00976447">
      <w:pPr>
        <w:spacing w:after="0" w:line="240" w:lineRule="auto"/>
      </w:pPr>
      <w:r>
        <w:separator/>
      </w:r>
    </w:p>
  </w:endnote>
  <w:endnote w:type="continuationSeparator" w:id="0">
    <w:p w14:paraId="6ABBBB5B" w14:textId="77777777" w:rsidR="00EF1331" w:rsidRDefault="00EF1331"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85DC8" w14:textId="77777777" w:rsidR="00EF1331" w:rsidRDefault="00EF1331" w:rsidP="00976447">
      <w:pPr>
        <w:spacing w:after="0" w:line="240" w:lineRule="auto"/>
      </w:pPr>
      <w:r>
        <w:separator/>
      </w:r>
    </w:p>
  </w:footnote>
  <w:footnote w:type="continuationSeparator" w:id="0">
    <w:p w14:paraId="47579A03" w14:textId="77777777" w:rsidR="00EF1331" w:rsidRDefault="00EF1331"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621175081"/>
      <w:placeholder>
        <w:docPart w:val="D54CA62D9F744CB992589E1994BC4B52"/>
      </w:placeholder>
      <w:dataBinding w:prefixMappings="xmlns:ns0='http://schemas.openxmlformats.org/package/2006/metadata/core-properties' xmlns:ns1='http://purl.org/dc/elements/1.1/'" w:xpath="/ns0:coreProperties[1]/ns1:title[1]" w:storeItemID="{6C3C8BC8-F283-45AE-878A-BAB7291924A1}"/>
      <w:text/>
    </w:sdtPr>
    <w:sdtEndPr/>
    <w:sdtContent>
      <w:p w14:paraId="2E1E0C89" w14:textId="77777777" w:rsidR="00976447" w:rsidRDefault="0097644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Hants &amp; IOW LPC Service Specification Checklist</w:t>
        </w:r>
      </w:p>
    </w:sdtContent>
  </w:sdt>
  <w:p w14:paraId="51D3A63B" w14:textId="77777777" w:rsidR="00976447" w:rsidRDefault="0097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2443"/>
    <w:multiLevelType w:val="hybridMultilevel"/>
    <w:tmpl w:val="AA68052C"/>
    <w:lvl w:ilvl="0" w:tplc="477AAA8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9594E"/>
    <w:multiLevelType w:val="hybridMultilevel"/>
    <w:tmpl w:val="C172B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647359"/>
    <w:multiLevelType w:val="hybridMultilevel"/>
    <w:tmpl w:val="B7524146"/>
    <w:lvl w:ilvl="0" w:tplc="22CEAB7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C4B67"/>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7"/>
    <w:rsid w:val="00096E20"/>
    <w:rsid w:val="000D51A7"/>
    <w:rsid w:val="00131936"/>
    <w:rsid w:val="001535B4"/>
    <w:rsid w:val="001950EE"/>
    <w:rsid w:val="001C77B7"/>
    <w:rsid w:val="002559E9"/>
    <w:rsid w:val="002659DC"/>
    <w:rsid w:val="002A4146"/>
    <w:rsid w:val="0035747B"/>
    <w:rsid w:val="003B6024"/>
    <w:rsid w:val="00456784"/>
    <w:rsid w:val="00460CB9"/>
    <w:rsid w:val="004A4DA0"/>
    <w:rsid w:val="004B0D0D"/>
    <w:rsid w:val="0053198F"/>
    <w:rsid w:val="005622DD"/>
    <w:rsid w:val="005A4549"/>
    <w:rsid w:val="005C2355"/>
    <w:rsid w:val="005F21E8"/>
    <w:rsid w:val="005F25A9"/>
    <w:rsid w:val="00674853"/>
    <w:rsid w:val="006846FA"/>
    <w:rsid w:val="00697410"/>
    <w:rsid w:val="006A4876"/>
    <w:rsid w:val="007133B7"/>
    <w:rsid w:val="007C58DC"/>
    <w:rsid w:val="007F001C"/>
    <w:rsid w:val="00807DFF"/>
    <w:rsid w:val="00832000"/>
    <w:rsid w:val="00835D38"/>
    <w:rsid w:val="00853F50"/>
    <w:rsid w:val="00862910"/>
    <w:rsid w:val="008726F4"/>
    <w:rsid w:val="008A4C9A"/>
    <w:rsid w:val="008B505C"/>
    <w:rsid w:val="008E1CDD"/>
    <w:rsid w:val="008F437A"/>
    <w:rsid w:val="0091041C"/>
    <w:rsid w:val="00912FF1"/>
    <w:rsid w:val="009274E4"/>
    <w:rsid w:val="00935A10"/>
    <w:rsid w:val="00966A29"/>
    <w:rsid w:val="00976447"/>
    <w:rsid w:val="009A0D03"/>
    <w:rsid w:val="009A4336"/>
    <w:rsid w:val="009C5D67"/>
    <w:rsid w:val="009D3AE6"/>
    <w:rsid w:val="00A60403"/>
    <w:rsid w:val="00A70906"/>
    <w:rsid w:val="00A73AF4"/>
    <w:rsid w:val="00A8629B"/>
    <w:rsid w:val="00AC2ACA"/>
    <w:rsid w:val="00AC31A4"/>
    <w:rsid w:val="00AE01F1"/>
    <w:rsid w:val="00AF2E5C"/>
    <w:rsid w:val="00B1308C"/>
    <w:rsid w:val="00B27B12"/>
    <w:rsid w:val="00B3219E"/>
    <w:rsid w:val="00B511A9"/>
    <w:rsid w:val="00B74F56"/>
    <w:rsid w:val="00BC7FBB"/>
    <w:rsid w:val="00C51B6B"/>
    <w:rsid w:val="00C547A5"/>
    <w:rsid w:val="00C8050F"/>
    <w:rsid w:val="00CE5827"/>
    <w:rsid w:val="00CF09FC"/>
    <w:rsid w:val="00D01E8F"/>
    <w:rsid w:val="00D30E30"/>
    <w:rsid w:val="00DA6A3F"/>
    <w:rsid w:val="00DC7604"/>
    <w:rsid w:val="00DE5728"/>
    <w:rsid w:val="00E12F94"/>
    <w:rsid w:val="00E46D93"/>
    <w:rsid w:val="00E47C77"/>
    <w:rsid w:val="00E8310F"/>
    <w:rsid w:val="00EA3183"/>
    <w:rsid w:val="00EA42B3"/>
    <w:rsid w:val="00EF1331"/>
    <w:rsid w:val="00F02A57"/>
    <w:rsid w:val="00F36554"/>
    <w:rsid w:val="00F36A8C"/>
    <w:rsid w:val="00F46C00"/>
    <w:rsid w:val="00FE2553"/>
    <w:rsid w:val="00FE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semiHidden/>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basedOn w:val="Normal"/>
    <w:uiPriority w:val="34"/>
    <w:qFormat/>
    <w:rsid w:val="00EA42B3"/>
    <w:pPr>
      <w:ind w:left="720"/>
      <w:contextualSpacing/>
    </w:pPr>
  </w:style>
  <w:style w:type="paragraph" w:customStyle="1" w:styleId="p1">
    <w:name w:val="p1"/>
    <w:basedOn w:val="Normal"/>
    <w:rsid w:val="007133B7"/>
    <w:pPr>
      <w:spacing w:after="0" w:line="240" w:lineRule="auto"/>
      <w:jc w:val="both"/>
    </w:pPr>
    <w:rPr>
      <w:rFonts w:ascii="Helvetica Neue" w:hAnsi="Helvetica Neue" w:cs="Times New Roman"/>
      <w:color w:val="444444"/>
      <w:lang w:eastAsia="en-GB"/>
    </w:rPr>
  </w:style>
  <w:style w:type="character" w:customStyle="1" w:styleId="s1">
    <w:name w:val="s1"/>
    <w:basedOn w:val="DefaultParagraphFont"/>
    <w:rsid w:val="00713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981967">
      <w:bodyDiv w:val="1"/>
      <w:marLeft w:val="0"/>
      <w:marRight w:val="0"/>
      <w:marTop w:val="0"/>
      <w:marBottom w:val="0"/>
      <w:divBdr>
        <w:top w:val="none" w:sz="0" w:space="0" w:color="auto"/>
        <w:left w:val="none" w:sz="0" w:space="0" w:color="auto"/>
        <w:bottom w:val="none" w:sz="0" w:space="0" w:color="auto"/>
        <w:right w:val="none" w:sz="0" w:space="0" w:color="auto"/>
      </w:divBdr>
    </w:div>
    <w:div w:id="90756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buxton@hampshirelpc.org.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hsbsa.nhs.uk/PrescriptionServices/Documents/PrescriptionServices/Urgent_Medicine_Supply_Advanced_Service_Claim_submission_form_(V1_0_).pdf" TargetMode="External"/><Relationship Id="rId4" Type="http://schemas.openxmlformats.org/officeDocument/2006/relationships/settings" Target="settings.xml"/><Relationship Id="rId9" Type="http://schemas.openxmlformats.org/officeDocument/2006/relationships/hyperlink" Target="http://www.nhsbsa.nhs.uk/PrescriptionServices/UMS.aspx"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4CA62D9F744CB992589E1994BC4B52"/>
        <w:category>
          <w:name w:val="General"/>
          <w:gallery w:val="placeholder"/>
        </w:category>
        <w:types>
          <w:type w:val="bbPlcHdr"/>
        </w:types>
        <w:behaviors>
          <w:behavior w:val="content"/>
        </w:behaviors>
        <w:guid w:val="{28F13A55-E602-4139-B0C5-0CEF0E01705F}"/>
      </w:docPartPr>
      <w:docPartBody>
        <w:p w:rsidR="001518A5" w:rsidRDefault="006C29D5" w:rsidP="006C29D5">
          <w:pPr>
            <w:pStyle w:val="D54CA62D9F744CB992589E1994BC4B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9D5"/>
    <w:rsid w:val="000E4E6F"/>
    <w:rsid w:val="001518A5"/>
    <w:rsid w:val="00611F4C"/>
    <w:rsid w:val="006903CA"/>
    <w:rsid w:val="006A4B2D"/>
    <w:rsid w:val="006C29D5"/>
    <w:rsid w:val="007643CF"/>
    <w:rsid w:val="007A7C65"/>
    <w:rsid w:val="0081704F"/>
    <w:rsid w:val="00920ADB"/>
    <w:rsid w:val="009C08D5"/>
    <w:rsid w:val="00A9210F"/>
    <w:rsid w:val="00BB4260"/>
    <w:rsid w:val="00DB2D24"/>
    <w:rsid w:val="00DD4B78"/>
    <w:rsid w:val="00E73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1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CA62D9F744CB992589E1994BC4B52">
    <w:name w:val="D54CA62D9F744CB992589E1994BC4B52"/>
    <w:rsid w:val="006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63EE4B-3F1B-4D82-BD2C-7A2BCA17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Hants &amp; IOW LPC Service Specification Checklist</vt:lpstr>
    </vt:vector>
  </TitlesOfParts>
  <Company>Rowlands Pharmacy</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Hants &amp; IOW LPC Service Specification Checklist</dc:title>
  <dc:subject/>
  <dc:creator>Retail IT</dc:creator>
  <cp:keywords/>
  <dc:description/>
  <cp:lastModifiedBy>alison freemantle</cp:lastModifiedBy>
  <cp:revision>2</cp:revision>
  <dcterms:created xsi:type="dcterms:W3CDTF">2019-10-25T09:15:00Z</dcterms:created>
  <dcterms:modified xsi:type="dcterms:W3CDTF">2019-10-25T09:15:00Z</dcterms:modified>
</cp:coreProperties>
</file>